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hd w:val="clear" w:color="auto" w:fill="002060"/>
      </w:pPr>
      <w:r>
        <w:rPr>
          <w:rFonts w:ascii="Arial" w:hAnsi="Arial"/>
          <w:b/>
          <w:color w:val="FFFFFF"/>
        </w:rPr>
        <w:t>Investment Banking Memo</w:t>
      </w:r>
    </w:p>
    <w:p>
      <w:pPr>
        <w:pStyle w:val="Heading2"/>
        <w:shd w:val="clear" w:color="auto" w:fill="002060"/>
      </w:pPr>
      <w:r>
        <w:rPr>
          <w:rFonts w:ascii="Arial" w:hAnsi="Arial"/>
          <w:b/>
          <w:color w:val="FFFFFF"/>
        </w:rPr>
        <w:t>Executive Summary</w:t>
      </w:r>
    </w:p>
    <w:p>
      <w:r>
        <w:t>This memo summarises the transaction.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2060"/>
          </w:tcPr>
          <w:p>
            <w:r>
              <w:rPr>
                <w:rFonts w:ascii="Arial" w:hAnsi="Arial"/>
                <w:b/>
                <w:color w:val="FFFFFF"/>
              </w:rPr>
              <w:t>Metric ($M)</w:t>
            </w:r>
          </w:p>
        </w:tc>
        <w:tc>
          <w:tcPr>
            <w:tcW w:type="dxa" w:w="2160"/>
            <w:shd w:val="clear" w:color="auto" w:fill="002060"/>
          </w:tcPr>
          <w:p>
            <w:r>
              <w:rPr>
                <w:rFonts w:ascii="Arial" w:hAnsi="Arial"/>
                <w:b/>
                <w:color w:val="FFFFFF"/>
              </w:rPr>
              <w:t>2024A</w:t>
            </w:r>
          </w:p>
        </w:tc>
        <w:tc>
          <w:tcPr>
            <w:tcW w:type="dxa" w:w="2160"/>
            <w:shd w:val="clear" w:color="auto" w:fill="002060"/>
          </w:tcPr>
          <w:p>
            <w:r>
              <w:rPr>
                <w:rFonts w:ascii="Arial" w:hAnsi="Arial"/>
                <w:b/>
                <w:color w:val="FFFFFF"/>
              </w:rPr>
              <w:t>2025E</w:t>
            </w:r>
          </w:p>
        </w:tc>
        <w:tc>
          <w:tcPr>
            <w:tcW w:type="dxa" w:w="2160"/>
            <w:shd w:val="clear" w:color="auto" w:fill="002060"/>
          </w:tcPr>
          <w:p>
            <w:r>
              <w:rPr>
                <w:rFonts w:ascii="Arial" w:hAnsi="Arial"/>
                <w:b/>
                <w:color w:val="FFFFFF"/>
              </w:rPr>
              <w:t>2026E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1,250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1,450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1,700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EBITDA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310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380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460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Net Income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225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280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