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CF2C4" w14:textId="38CBA9BD" w:rsidR="000729D1" w:rsidRPr="000729D1" w:rsidRDefault="000729D1" w:rsidP="000729D1">
      <w:pPr>
        <w:spacing w:before="960" w:after="1200" w:line="240" w:lineRule="auto"/>
        <w:jc w:val="center"/>
        <w:rPr>
          <w:b/>
          <w:bCs/>
          <w:sz w:val="32"/>
          <w:szCs w:val="32"/>
        </w:rPr>
      </w:pPr>
      <w:r w:rsidRPr="000729D1">
        <w:rPr>
          <w:b/>
          <w:bCs/>
          <w:sz w:val="32"/>
          <w:szCs w:val="32"/>
        </w:rPr>
        <w:t>FinSecure Corp. Incident Response and Network Security Review</w:t>
      </w:r>
    </w:p>
    <w:p w14:paraId="21DF575E" w14:textId="77777777" w:rsidR="000729D1" w:rsidRDefault="000729D1" w:rsidP="000729D1">
      <w:pPr>
        <w:spacing w:before="960" w:after="960" w:line="240" w:lineRule="auto"/>
        <w:jc w:val="center"/>
      </w:pPr>
      <w:r>
        <w:t>Dontrell Wilson</w:t>
      </w:r>
    </w:p>
    <w:p w14:paraId="10277962" w14:textId="77777777" w:rsidR="000729D1" w:rsidRPr="00AD082B" w:rsidRDefault="000729D1" w:rsidP="000729D1">
      <w:pPr>
        <w:spacing w:before="960" w:after="960" w:line="240" w:lineRule="auto"/>
        <w:jc w:val="center"/>
      </w:pPr>
      <w:r w:rsidRPr="005C2F8A">
        <w:rPr>
          <w:b/>
          <w:bCs/>
        </w:rPr>
        <w:t>Course</w:t>
      </w:r>
      <w:r w:rsidRPr="00AD082B">
        <w:t xml:space="preserve">: </w:t>
      </w:r>
      <w:r>
        <w:t>C845—</w:t>
      </w:r>
      <w:r w:rsidRPr="00915C30">
        <w:t>Information Systems Security</w:t>
      </w:r>
    </w:p>
    <w:p w14:paraId="55685BF9" w14:textId="77777777" w:rsidR="000729D1" w:rsidRPr="00AD082B" w:rsidRDefault="000729D1" w:rsidP="000729D1">
      <w:pPr>
        <w:spacing w:before="960" w:after="960" w:line="240" w:lineRule="auto"/>
        <w:jc w:val="center"/>
      </w:pPr>
      <w:r w:rsidRPr="005C2F8A">
        <w:rPr>
          <w:b/>
          <w:bCs/>
        </w:rPr>
        <w:t>WGU Student ID</w:t>
      </w:r>
      <w:r w:rsidRPr="00AD082B">
        <w:t xml:space="preserve">: </w:t>
      </w:r>
      <w:r>
        <w:t>012396902</w:t>
      </w:r>
    </w:p>
    <w:p w14:paraId="1F9D4237" w14:textId="00A7CABF" w:rsidR="000729D1" w:rsidRPr="00AD082B" w:rsidRDefault="000729D1" w:rsidP="000729D1">
      <w:pPr>
        <w:spacing w:before="960" w:after="960" w:line="240" w:lineRule="auto"/>
        <w:jc w:val="center"/>
      </w:pPr>
      <w:r w:rsidRPr="005C2F8A">
        <w:rPr>
          <w:b/>
          <w:bCs/>
        </w:rPr>
        <w:t>Date</w:t>
      </w:r>
      <w:r w:rsidRPr="00AD082B">
        <w:t xml:space="preserve">: </w:t>
      </w:r>
      <w:r>
        <w:t>July 1</w:t>
      </w:r>
      <w:r w:rsidR="00AA5CD9">
        <w:t>2</w:t>
      </w:r>
      <w:r>
        <w:t>, 2026</w:t>
      </w:r>
    </w:p>
    <w:p w14:paraId="7939D3F9" w14:textId="43EB6698" w:rsidR="000729D1" w:rsidRPr="003A183F" w:rsidRDefault="000729D1" w:rsidP="000729D1">
      <w:pPr>
        <w:spacing w:before="960" w:after="960" w:line="240" w:lineRule="auto"/>
        <w:jc w:val="center"/>
      </w:pPr>
      <w:r>
        <w:rPr>
          <w:b/>
          <w:bCs/>
        </w:rPr>
        <w:t>Task 2</w:t>
      </w:r>
      <w:r w:rsidRPr="00AD082B">
        <w:t xml:space="preserve">: </w:t>
      </w:r>
      <w:r w:rsidRPr="000729D1">
        <w:t>Evaluating Incident Response Operations &amp; Defending Network Security</w:t>
      </w:r>
    </w:p>
    <w:p w14:paraId="50E6925F" w14:textId="3D5A152E" w:rsidR="000554AC" w:rsidRDefault="000729D1" w:rsidP="000729D1">
      <w:pPr>
        <w:spacing w:before="1440" w:after="960" w:line="240" w:lineRule="auto"/>
        <w:jc w:val="center"/>
        <w:rPr>
          <w:sz w:val="20"/>
          <w:szCs w:val="20"/>
        </w:rPr>
      </w:pPr>
      <w:r>
        <w:rPr>
          <w:sz w:val="20"/>
          <w:szCs w:val="20"/>
        </w:rPr>
        <w:t>P</w:t>
      </w:r>
      <w:r w:rsidRPr="003A183F">
        <w:rPr>
          <w:sz w:val="20"/>
          <w:szCs w:val="20"/>
        </w:rPr>
        <w:t>repared for the</w:t>
      </w:r>
      <w:r w:rsidRPr="00915C30">
        <w:rPr>
          <w:sz w:val="20"/>
          <w:szCs w:val="20"/>
        </w:rPr>
        <w:t xml:space="preserve"> C845 Information Systems Security </w:t>
      </w:r>
      <w:r>
        <w:rPr>
          <w:sz w:val="20"/>
          <w:szCs w:val="20"/>
        </w:rPr>
        <w:t>P</w:t>
      </w:r>
      <w:r w:rsidRPr="00915C30">
        <w:rPr>
          <w:sz w:val="20"/>
          <w:szCs w:val="20"/>
        </w:rPr>
        <w:t xml:space="preserve">erformance </w:t>
      </w:r>
      <w:r>
        <w:rPr>
          <w:sz w:val="20"/>
          <w:szCs w:val="20"/>
        </w:rPr>
        <w:t>A</w:t>
      </w:r>
      <w:r w:rsidRPr="00915C30">
        <w:rPr>
          <w:sz w:val="20"/>
          <w:szCs w:val="20"/>
        </w:rPr>
        <w:t>ssessment</w:t>
      </w:r>
      <w:r>
        <w:rPr>
          <w:sz w:val="20"/>
          <w:szCs w:val="20"/>
        </w:rPr>
        <w:t>.</w:t>
      </w:r>
    </w:p>
    <w:p w14:paraId="6CD7477C" w14:textId="18910F93" w:rsidR="000729D1" w:rsidRDefault="000729D1" w:rsidP="000729D1">
      <w:pPr>
        <w:rPr>
          <w:sz w:val="20"/>
          <w:szCs w:val="20"/>
        </w:rPr>
      </w:pPr>
      <w:r>
        <w:rPr>
          <w:sz w:val="20"/>
          <w:szCs w:val="20"/>
        </w:rPr>
        <w:br w:type="page"/>
      </w:r>
    </w:p>
    <w:p w14:paraId="6349F56C" w14:textId="6A7A12CB" w:rsidR="000729D1" w:rsidRDefault="000729D1" w:rsidP="009A229E">
      <w:pPr>
        <w:spacing w:before="240" w:after="240" w:line="240" w:lineRule="auto"/>
        <w:jc w:val="center"/>
        <w:rPr>
          <w:b/>
          <w:bCs/>
          <w:sz w:val="32"/>
          <w:szCs w:val="32"/>
        </w:rPr>
      </w:pPr>
      <w:r w:rsidRPr="000729D1">
        <w:rPr>
          <w:b/>
          <w:bCs/>
          <w:sz w:val="32"/>
          <w:szCs w:val="32"/>
        </w:rPr>
        <w:lastRenderedPageBreak/>
        <w:t>Table of Contents</w:t>
      </w:r>
    </w:p>
    <w:p w14:paraId="6D8705B6" w14:textId="34CF5AAC" w:rsidR="00AA5CD9" w:rsidRDefault="00526039">
      <w:pPr>
        <w:pStyle w:val="TOC1"/>
        <w:rPr>
          <w:rFonts w:asciiTheme="minorHAnsi" w:eastAsiaTheme="minorEastAsia" w:hAnsiTheme="minorHAnsi" w:cstheme="minorBidi"/>
          <w:noProof/>
          <w:sz w:val="24"/>
        </w:rPr>
      </w:pPr>
      <w:r>
        <w:rPr>
          <w:b/>
          <w:bCs/>
          <w:sz w:val="32"/>
          <w:szCs w:val="32"/>
        </w:rPr>
        <w:fldChar w:fldCharType="begin"/>
      </w:r>
      <w:r>
        <w:rPr>
          <w:b/>
          <w:bCs/>
          <w:sz w:val="32"/>
          <w:szCs w:val="32"/>
        </w:rPr>
        <w:instrText xml:space="preserve"> TOC \o "1-2" \h \z \u </w:instrText>
      </w:r>
      <w:r>
        <w:rPr>
          <w:b/>
          <w:bCs/>
          <w:sz w:val="32"/>
          <w:szCs w:val="32"/>
        </w:rPr>
        <w:fldChar w:fldCharType="separate"/>
      </w:r>
      <w:hyperlink w:anchor="_Toc234711484" w:history="1">
        <w:r w:rsidR="00AA5CD9" w:rsidRPr="00F10585">
          <w:rPr>
            <w:rStyle w:val="Hyperlink"/>
            <w:b/>
            <w:bCs/>
            <w:noProof/>
          </w:rPr>
          <w:t>A.</w:t>
        </w:r>
        <w:r w:rsidR="00AA5CD9">
          <w:rPr>
            <w:rFonts w:asciiTheme="minorHAnsi" w:eastAsiaTheme="minorEastAsia" w:hAnsiTheme="minorHAnsi" w:cstheme="minorBidi"/>
            <w:noProof/>
            <w:sz w:val="24"/>
          </w:rPr>
          <w:tab/>
        </w:r>
        <w:r w:rsidR="00AA5CD9" w:rsidRPr="00F10585">
          <w:rPr>
            <w:rStyle w:val="Hyperlink"/>
            <w:b/>
            <w:bCs/>
            <w:noProof/>
          </w:rPr>
          <w:t>Incident Response Evaluation</w:t>
        </w:r>
        <w:r w:rsidR="00AA5CD9">
          <w:rPr>
            <w:noProof/>
            <w:webHidden/>
          </w:rPr>
          <w:tab/>
        </w:r>
        <w:r w:rsidR="00AA5CD9">
          <w:rPr>
            <w:noProof/>
            <w:webHidden/>
          </w:rPr>
          <w:fldChar w:fldCharType="begin"/>
        </w:r>
        <w:r w:rsidR="00AA5CD9">
          <w:rPr>
            <w:noProof/>
            <w:webHidden/>
          </w:rPr>
          <w:instrText xml:space="preserve"> PAGEREF _Toc234711484 \h </w:instrText>
        </w:r>
        <w:r w:rsidR="00AA5CD9">
          <w:rPr>
            <w:noProof/>
            <w:webHidden/>
          </w:rPr>
        </w:r>
        <w:r w:rsidR="00AA5CD9">
          <w:rPr>
            <w:noProof/>
            <w:webHidden/>
          </w:rPr>
          <w:fldChar w:fldCharType="separate"/>
        </w:r>
        <w:r w:rsidR="00AA5CD9">
          <w:rPr>
            <w:noProof/>
            <w:webHidden/>
          </w:rPr>
          <w:t>3</w:t>
        </w:r>
        <w:r w:rsidR="00AA5CD9">
          <w:rPr>
            <w:noProof/>
            <w:webHidden/>
          </w:rPr>
          <w:fldChar w:fldCharType="end"/>
        </w:r>
      </w:hyperlink>
    </w:p>
    <w:p w14:paraId="6FF2FC58" w14:textId="62EDD0AE" w:rsidR="00AA5CD9" w:rsidRDefault="00AA5CD9">
      <w:pPr>
        <w:pStyle w:val="TOC2"/>
        <w:tabs>
          <w:tab w:val="right" w:leader="dot" w:pos="9350"/>
        </w:tabs>
        <w:rPr>
          <w:rFonts w:asciiTheme="minorHAnsi" w:eastAsiaTheme="minorEastAsia" w:hAnsiTheme="minorHAnsi" w:cstheme="minorBidi"/>
          <w:noProof/>
          <w:sz w:val="24"/>
        </w:rPr>
      </w:pPr>
      <w:hyperlink w:anchor="_Toc234711485" w:history="1">
        <w:r w:rsidRPr="00F10585">
          <w:rPr>
            <w:rStyle w:val="Hyperlink"/>
            <w:b/>
            <w:bCs/>
            <w:noProof/>
          </w:rPr>
          <w:t>A1. Incident Response Actions</w:t>
        </w:r>
        <w:r>
          <w:rPr>
            <w:noProof/>
            <w:webHidden/>
          </w:rPr>
          <w:tab/>
        </w:r>
        <w:r>
          <w:rPr>
            <w:noProof/>
            <w:webHidden/>
          </w:rPr>
          <w:fldChar w:fldCharType="begin"/>
        </w:r>
        <w:r>
          <w:rPr>
            <w:noProof/>
            <w:webHidden/>
          </w:rPr>
          <w:instrText xml:space="preserve"> PAGEREF _Toc234711485 \h </w:instrText>
        </w:r>
        <w:r>
          <w:rPr>
            <w:noProof/>
            <w:webHidden/>
          </w:rPr>
        </w:r>
        <w:r>
          <w:rPr>
            <w:noProof/>
            <w:webHidden/>
          </w:rPr>
          <w:fldChar w:fldCharType="separate"/>
        </w:r>
        <w:r>
          <w:rPr>
            <w:noProof/>
            <w:webHidden/>
          </w:rPr>
          <w:t>3</w:t>
        </w:r>
        <w:r>
          <w:rPr>
            <w:noProof/>
            <w:webHidden/>
          </w:rPr>
          <w:fldChar w:fldCharType="end"/>
        </w:r>
      </w:hyperlink>
    </w:p>
    <w:p w14:paraId="57C7A518" w14:textId="3221656F" w:rsidR="00AA5CD9" w:rsidRDefault="00AA5CD9">
      <w:pPr>
        <w:pStyle w:val="TOC2"/>
        <w:tabs>
          <w:tab w:val="right" w:leader="dot" w:pos="9350"/>
        </w:tabs>
        <w:rPr>
          <w:rFonts w:asciiTheme="minorHAnsi" w:eastAsiaTheme="minorEastAsia" w:hAnsiTheme="minorHAnsi" w:cstheme="minorBidi"/>
          <w:noProof/>
          <w:sz w:val="24"/>
        </w:rPr>
      </w:pPr>
      <w:hyperlink w:anchor="_Toc234711486" w:history="1">
        <w:r w:rsidRPr="00F10585">
          <w:rPr>
            <w:rStyle w:val="Hyperlink"/>
            <w:b/>
            <w:bCs/>
            <w:noProof/>
          </w:rPr>
          <w:t>A2. Evaluation of Incident Response Effectiveness</w:t>
        </w:r>
        <w:r>
          <w:rPr>
            <w:noProof/>
            <w:webHidden/>
          </w:rPr>
          <w:tab/>
        </w:r>
        <w:r>
          <w:rPr>
            <w:noProof/>
            <w:webHidden/>
          </w:rPr>
          <w:fldChar w:fldCharType="begin"/>
        </w:r>
        <w:r>
          <w:rPr>
            <w:noProof/>
            <w:webHidden/>
          </w:rPr>
          <w:instrText xml:space="preserve"> PAGEREF _Toc234711486 \h </w:instrText>
        </w:r>
        <w:r>
          <w:rPr>
            <w:noProof/>
            <w:webHidden/>
          </w:rPr>
        </w:r>
        <w:r>
          <w:rPr>
            <w:noProof/>
            <w:webHidden/>
          </w:rPr>
          <w:fldChar w:fldCharType="separate"/>
        </w:r>
        <w:r>
          <w:rPr>
            <w:noProof/>
            <w:webHidden/>
          </w:rPr>
          <w:t>3</w:t>
        </w:r>
        <w:r>
          <w:rPr>
            <w:noProof/>
            <w:webHidden/>
          </w:rPr>
          <w:fldChar w:fldCharType="end"/>
        </w:r>
      </w:hyperlink>
    </w:p>
    <w:p w14:paraId="21155D91" w14:textId="32CCA383" w:rsidR="00AA5CD9" w:rsidRDefault="00AA5CD9">
      <w:pPr>
        <w:pStyle w:val="TOC2"/>
        <w:tabs>
          <w:tab w:val="right" w:leader="dot" w:pos="9350"/>
        </w:tabs>
        <w:rPr>
          <w:rFonts w:asciiTheme="minorHAnsi" w:eastAsiaTheme="minorEastAsia" w:hAnsiTheme="minorHAnsi" w:cstheme="minorBidi"/>
          <w:noProof/>
          <w:sz w:val="24"/>
        </w:rPr>
      </w:pPr>
      <w:hyperlink w:anchor="_Toc234711487" w:history="1">
        <w:r w:rsidRPr="00F10585">
          <w:rPr>
            <w:rStyle w:val="Hyperlink"/>
            <w:b/>
            <w:bCs/>
            <w:noProof/>
          </w:rPr>
          <w:t>A3. Incident Response Improvements</w:t>
        </w:r>
        <w:r>
          <w:rPr>
            <w:noProof/>
            <w:webHidden/>
          </w:rPr>
          <w:tab/>
        </w:r>
        <w:r>
          <w:rPr>
            <w:noProof/>
            <w:webHidden/>
          </w:rPr>
          <w:fldChar w:fldCharType="begin"/>
        </w:r>
        <w:r>
          <w:rPr>
            <w:noProof/>
            <w:webHidden/>
          </w:rPr>
          <w:instrText xml:space="preserve"> PAGEREF _Toc234711487 \h </w:instrText>
        </w:r>
        <w:r>
          <w:rPr>
            <w:noProof/>
            <w:webHidden/>
          </w:rPr>
        </w:r>
        <w:r>
          <w:rPr>
            <w:noProof/>
            <w:webHidden/>
          </w:rPr>
          <w:fldChar w:fldCharType="separate"/>
        </w:r>
        <w:r>
          <w:rPr>
            <w:noProof/>
            <w:webHidden/>
          </w:rPr>
          <w:t>5</w:t>
        </w:r>
        <w:r>
          <w:rPr>
            <w:noProof/>
            <w:webHidden/>
          </w:rPr>
          <w:fldChar w:fldCharType="end"/>
        </w:r>
      </w:hyperlink>
    </w:p>
    <w:p w14:paraId="4BB340F7" w14:textId="57F90821" w:rsidR="00AA5CD9" w:rsidRDefault="00AA5CD9">
      <w:pPr>
        <w:pStyle w:val="TOC1"/>
        <w:rPr>
          <w:rFonts w:asciiTheme="minorHAnsi" w:eastAsiaTheme="minorEastAsia" w:hAnsiTheme="minorHAnsi" w:cstheme="minorBidi"/>
          <w:noProof/>
          <w:sz w:val="24"/>
        </w:rPr>
      </w:pPr>
      <w:hyperlink w:anchor="_Toc234711488" w:history="1">
        <w:r w:rsidRPr="00F10585">
          <w:rPr>
            <w:rStyle w:val="Hyperlink"/>
            <w:b/>
            <w:bCs/>
            <w:noProof/>
          </w:rPr>
          <w:t>B.</w:t>
        </w:r>
        <w:r>
          <w:rPr>
            <w:rFonts w:asciiTheme="minorHAnsi" w:eastAsiaTheme="minorEastAsia" w:hAnsiTheme="minorHAnsi" w:cstheme="minorBidi"/>
            <w:noProof/>
            <w:sz w:val="24"/>
          </w:rPr>
          <w:tab/>
        </w:r>
        <w:r w:rsidRPr="00F10585">
          <w:rPr>
            <w:rStyle w:val="Hyperlink"/>
            <w:b/>
            <w:bCs/>
            <w:noProof/>
          </w:rPr>
          <w:t>Network Architecture and Firewall Analysis</w:t>
        </w:r>
        <w:r>
          <w:rPr>
            <w:noProof/>
            <w:webHidden/>
          </w:rPr>
          <w:tab/>
        </w:r>
        <w:r>
          <w:rPr>
            <w:noProof/>
            <w:webHidden/>
          </w:rPr>
          <w:fldChar w:fldCharType="begin"/>
        </w:r>
        <w:r>
          <w:rPr>
            <w:noProof/>
            <w:webHidden/>
          </w:rPr>
          <w:instrText xml:space="preserve"> PAGEREF _Toc234711488 \h </w:instrText>
        </w:r>
        <w:r>
          <w:rPr>
            <w:noProof/>
            <w:webHidden/>
          </w:rPr>
        </w:r>
        <w:r>
          <w:rPr>
            <w:noProof/>
            <w:webHidden/>
          </w:rPr>
          <w:fldChar w:fldCharType="separate"/>
        </w:r>
        <w:r>
          <w:rPr>
            <w:noProof/>
            <w:webHidden/>
          </w:rPr>
          <w:t>6</w:t>
        </w:r>
        <w:r>
          <w:rPr>
            <w:noProof/>
            <w:webHidden/>
          </w:rPr>
          <w:fldChar w:fldCharType="end"/>
        </w:r>
      </w:hyperlink>
    </w:p>
    <w:p w14:paraId="36D033E6" w14:textId="7BC70B94" w:rsidR="00AA5CD9" w:rsidRDefault="00AA5CD9">
      <w:pPr>
        <w:pStyle w:val="TOC2"/>
        <w:tabs>
          <w:tab w:val="right" w:leader="dot" w:pos="9350"/>
        </w:tabs>
        <w:rPr>
          <w:rFonts w:asciiTheme="minorHAnsi" w:eastAsiaTheme="minorEastAsia" w:hAnsiTheme="minorHAnsi" w:cstheme="minorBidi"/>
          <w:noProof/>
          <w:sz w:val="24"/>
        </w:rPr>
      </w:pPr>
      <w:hyperlink w:anchor="_Toc234711489" w:history="1">
        <w:r w:rsidRPr="00F10585">
          <w:rPr>
            <w:rStyle w:val="Hyperlink"/>
            <w:b/>
            <w:bCs/>
            <w:noProof/>
          </w:rPr>
          <w:t>B1. Network Vulnerabilities</w:t>
        </w:r>
        <w:r>
          <w:rPr>
            <w:noProof/>
            <w:webHidden/>
          </w:rPr>
          <w:tab/>
        </w:r>
        <w:r>
          <w:rPr>
            <w:noProof/>
            <w:webHidden/>
          </w:rPr>
          <w:fldChar w:fldCharType="begin"/>
        </w:r>
        <w:r>
          <w:rPr>
            <w:noProof/>
            <w:webHidden/>
          </w:rPr>
          <w:instrText xml:space="preserve"> PAGEREF _Toc234711489 \h </w:instrText>
        </w:r>
        <w:r>
          <w:rPr>
            <w:noProof/>
            <w:webHidden/>
          </w:rPr>
        </w:r>
        <w:r>
          <w:rPr>
            <w:noProof/>
            <w:webHidden/>
          </w:rPr>
          <w:fldChar w:fldCharType="separate"/>
        </w:r>
        <w:r>
          <w:rPr>
            <w:noProof/>
            <w:webHidden/>
          </w:rPr>
          <w:t>6</w:t>
        </w:r>
        <w:r>
          <w:rPr>
            <w:noProof/>
            <w:webHidden/>
          </w:rPr>
          <w:fldChar w:fldCharType="end"/>
        </w:r>
      </w:hyperlink>
    </w:p>
    <w:p w14:paraId="6C63D52B" w14:textId="06C33B35" w:rsidR="00AA5CD9" w:rsidRDefault="00AA5CD9">
      <w:pPr>
        <w:pStyle w:val="TOC2"/>
        <w:tabs>
          <w:tab w:val="right" w:leader="dot" w:pos="9350"/>
        </w:tabs>
        <w:rPr>
          <w:rFonts w:asciiTheme="minorHAnsi" w:eastAsiaTheme="minorEastAsia" w:hAnsiTheme="minorHAnsi" w:cstheme="minorBidi"/>
          <w:noProof/>
          <w:sz w:val="24"/>
        </w:rPr>
      </w:pPr>
      <w:hyperlink w:anchor="_Toc234711490" w:history="1">
        <w:r w:rsidRPr="00F10585">
          <w:rPr>
            <w:rStyle w:val="Hyperlink"/>
            <w:b/>
            <w:bCs/>
            <w:noProof/>
          </w:rPr>
          <w:t>B2. Remediation Strategies</w:t>
        </w:r>
        <w:r>
          <w:rPr>
            <w:noProof/>
            <w:webHidden/>
          </w:rPr>
          <w:tab/>
        </w:r>
        <w:r>
          <w:rPr>
            <w:noProof/>
            <w:webHidden/>
          </w:rPr>
          <w:fldChar w:fldCharType="begin"/>
        </w:r>
        <w:r>
          <w:rPr>
            <w:noProof/>
            <w:webHidden/>
          </w:rPr>
          <w:instrText xml:space="preserve"> PAGEREF _Toc234711490 \h </w:instrText>
        </w:r>
        <w:r>
          <w:rPr>
            <w:noProof/>
            <w:webHidden/>
          </w:rPr>
        </w:r>
        <w:r>
          <w:rPr>
            <w:noProof/>
            <w:webHidden/>
          </w:rPr>
          <w:fldChar w:fldCharType="separate"/>
        </w:r>
        <w:r>
          <w:rPr>
            <w:noProof/>
            <w:webHidden/>
          </w:rPr>
          <w:t>7</w:t>
        </w:r>
        <w:r>
          <w:rPr>
            <w:noProof/>
            <w:webHidden/>
          </w:rPr>
          <w:fldChar w:fldCharType="end"/>
        </w:r>
      </w:hyperlink>
    </w:p>
    <w:p w14:paraId="4CF5D1EC" w14:textId="78A2210F" w:rsidR="00AA5CD9" w:rsidRDefault="00AA5CD9">
      <w:pPr>
        <w:pStyle w:val="TOC2"/>
        <w:tabs>
          <w:tab w:val="right" w:leader="dot" w:pos="9350"/>
        </w:tabs>
        <w:rPr>
          <w:rFonts w:asciiTheme="minorHAnsi" w:eastAsiaTheme="minorEastAsia" w:hAnsiTheme="minorHAnsi" w:cstheme="minorBidi"/>
          <w:noProof/>
          <w:sz w:val="24"/>
        </w:rPr>
      </w:pPr>
      <w:hyperlink w:anchor="_Toc234711491" w:history="1">
        <w:r w:rsidRPr="00F10585">
          <w:rPr>
            <w:rStyle w:val="Hyperlink"/>
            <w:b/>
            <w:bCs/>
            <w:noProof/>
          </w:rPr>
          <w:t>B3. Threat Resistance and CIA Impact</w:t>
        </w:r>
        <w:r>
          <w:rPr>
            <w:noProof/>
            <w:webHidden/>
          </w:rPr>
          <w:tab/>
        </w:r>
        <w:r>
          <w:rPr>
            <w:noProof/>
            <w:webHidden/>
          </w:rPr>
          <w:fldChar w:fldCharType="begin"/>
        </w:r>
        <w:r>
          <w:rPr>
            <w:noProof/>
            <w:webHidden/>
          </w:rPr>
          <w:instrText xml:space="preserve"> PAGEREF _Toc234711491 \h </w:instrText>
        </w:r>
        <w:r>
          <w:rPr>
            <w:noProof/>
            <w:webHidden/>
          </w:rPr>
        </w:r>
        <w:r>
          <w:rPr>
            <w:noProof/>
            <w:webHidden/>
          </w:rPr>
          <w:fldChar w:fldCharType="separate"/>
        </w:r>
        <w:r>
          <w:rPr>
            <w:noProof/>
            <w:webHidden/>
          </w:rPr>
          <w:t>7</w:t>
        </w:r>
        <w:r>
          <w:rPr>
            <w:noProof/>
            <w:webHidden/>
          </w:rPr>
          <w:fldChar w:fldCharType="end"/>
        </w:r>
      </w:hyperlink>
    </w:p>
    <w:p w14:paraId="0D833BF4" w14:textId="3BDDC28D" w:rsidR="00AA5CD9" w:rsidRDefault="00AA5CD9">
      <w:pPr>
        <w:pStyle w:val="TOC1"/>
        <w:rPr>
          <w:rFonts w:asciiTheme="minorHAnsi" w:eastAsiaTheme="minorEastAsia" w:hAnsiTheme="minorHAnsi" w:cstheme="minorBidi"/>
          <w:noProof/>
          <w:sz w:val="24"/>
        </w:rPr>
      </w:pPr>
      <w:hyperlink w:anchor="_Toc234711492" w:history="1">
        <w:r w:rsidRPr="00F10585">
          <w:rPr>
            <w:rStyle w:val="Hyperlink"/>
            <w:b/>
            <w:bCs/>
            <w:noProof/>
          </w:rPr>
          <w:t>C.</w:t>
        </w:r>
        <w:r>
          <w:rPr>
            <w:rFonts w:asciiTheme="minorHAnsi" w:eastAsiaTheme="minorEastAsia" w:hAnsiTheme="minorHAnsi" w:cstheme="minorBidi"/>
            <w:noProof/>
            <w:sz w:val="24"/>
          </w:rPr>
          <w:tab/>
        </w:r>
        <w:r w:rsidRPr="00F10585">
          <w:rPr>
            <w:rStyle w:val="Hyperlink"/>
            <w:b/>
            <w:bCs/>
            <w:noProof/>
          </w:rPr>
          <w:t>Firewall and IDS Rule Review</w:t>
        </w:r>
        <w:r>
          <w:rPr>
            <w:noProof/>
            <w:webHidden/>
          </w:rPr>
          <w:tab/>
        </w:r>
        <w:r>
          <w:rPr>
            <w:noProof/>
            <w:webHidden/>
          </w:rPr>
          <w:fldChar w:fldCharType="begin"/>
        </w:r>
        <w:r>
          <w:rPr>
            <w:noProof/>
            <w:webHidden/>
          </w:rPr>
          <w:instrText xml:space="preserve"> PAGEREF _Toc234711492 \h </w:instrText>
        </w:r>
        <w:r>
          <w:rPr>
            <w:noProof/>
            <w:webHidden/>
          </w:rPr>
        </w:r>
        <w:r>
          <w:rPr>
            <w:noProof/>
            <w:webHidden/>
          </w:rPr>
          <w:fldChar w:fldCharType="separate"/>
        </w:r>
        <w:r>
          <w:rPr>
            <w:noProof/>
            <w:webHidden/>
          </w:rPr>
          <w:t>9</w:t>
        </w:r>
        <w:r>
          <w:rPr>
            <w:noProof/>
            <w:webHidden/>
          </w:rPr>
          <w:fldChar w:fldCharType="end"/>
        </w:r>
      </w:hyperlink>
    </w:p>
    <w:p w14:paraId="7E9FC4B9" w14:textId="7785498D" w:rsidR="00AA5CD9" w:rsidRDefault="00AA5CD9">
      <w:pPr>
        <w:pStyle w:val="TOC2"/>
        <w:tabs>
          <w:tab w:val="right" w:leader="dot" w:pos="9350"/>
        </w:tabs>
        <w:rPr>
          <w:rFonts w:asciiTheme="minorHAnsi" w:eastAsiaTheme="minorEastAsia" w:hAnsiTheme="minorHAnsi" w:cstheme="minorBidi"/>
          <w:noProof/>
          <w:sz w:val="24"/>
        </w:rPr>
      </w:pPr>
      <w:hyperlink w:anchor="_Toc234711493" w:history="1">
        <w:r w:rsidRPr="00F10585">
          <w:rPr>
            <w:rStyle w:val="Hyperlink"/>
            <w:b/>
            <w:bCs/>
            <w:noProof/>
          </w:rPr>
          <w:t>C1. Rule Weakness</w:t>
        </w:r>
        <w:r>
          <w:rPr>
            <w:noProof/>
            <w:webHidden/>
          </w:rPr>
          <w:tab/>
        </w:r>
        <w:r>
          <w:rPr>
            <w:noProof/>
            <w:webHidden/>
          </w:rPr>
          <w:fldChar w:fldCharType="begin"/>
        </w:r>
        <w:r>
          <w:rPr>
            <w:noProof/>
            <w:webHidden/>
          </w:rPr>
          <w:instrText xml:space="preserve"> PAGEREF _Toc234711493 \h </w:instrText>
        </w:r>
        <w:r>
          <w:rPr>
            <w:noProof/>
            <w:webHidden/>
          </w:rPr>
        </w:r>
        <w:r>
          <w:rPr>
            <w:noProof/>
            <w:webHidden/>
          </w:rPr>
          <w:fldChar w:fldCharType="separate"/>
        </w:r>
        <w:r>
          <w:rPr>
            <w:noProof/>
            <w:webHidden/>
          </w:rPr>
          <w:t>9</w:t>
        </w:r>
        <w:r>
          <w:rPr>
            <w:noProof/>
            <w:webHidden/>
          </w:rPr>
          <w:fldChar w:fldCharType="end"/>
        </w:r>
      </w:hyperlink>
    </w:p>
    <w:p w14:paraId="524AD92E" w14:textId="3DEBAA39" w:rsidR="00AA5CD9" w:rsidRDefault="00AA5CD9">
      <w:pPr>
        <w:pStyle w:val="TOC2"/>
        <w:tabs>
          <w:tab w:val="right" w:leader="dot" w:pos="9350"/>
        </w:tabs>
        <w:rPr>
          <w:rFonts w:asciiTheme="minorHAnsi" w:eastAsiaTheme="minorEastAsia" w:hAnsiTheme="minorHAnsi" w:cstheme="minorBidi"/>
          <w:noProof/>
          <w:sz w:val="24"/>
        </w:rPr>
      </w:pPr>
      <w:hyperlink w:anchor="_Toc234711494" w:history="1">
        <w:r w:rsidRPr="00F10585">
          <w:rPr>
            <w:rStyle w:val="Hyperlink"/>
            <w:b/>
            <w:bCs/>
            <w:noProof/>
          </w:rPr>
          <w:t>C2. Threat Exposure Created by the Weakness</w:t>
        </w:r>
        <w:r>
          <w:rPr>
            <w:noProof/>
            <w:webHidden/>
          </w:rPr>
          <w:tab/>
        </w:r>
        <w:r>
          <w:rPr>
            <w:noProof/>
            <w:webHidden/>
          </w:rPr>
          <w:fldChar w:fldCharType="begin"/>
        </w:r>
        <w:r>
          <w:rPr>
            <w:noProof/>
            <w:webHidden/>
          </w:rPr>
          <w:instrText xml:space="preserve"> PAGEREF _Toc234711494 \h </w:instrText>
        </w:r>
        <w:r>
          <w:rPr>
            <w:noProof/>
            <w:webHidden/>
          </w:rPr>
        </w:r>
        <w:r>
          <w:rPr>
            <w:noProof/>
            <w:webHidden/>
          </w:rPr>
          <w:fldChar w:fldCharType="separate"/>
        </w:r>
        <w:r>
          <w:rPr>
            <w:noProof/>
            <w:webHidden/>
          </w:rPr>
          <w:t>9</w:t>
        </w:r>
        <w:r>
          <w:rPr>
            <w:noProof/>
            <w:webHidden/>
          </w:rPr>
          <w:fldChar w:fldCharType="end"/>
        </w:r>
      </w:hyperlink>
    </w:p>
    <w:p w14:paraId="1C7A89D0" w14:textId="0EE4FF10" w:rsidR="00AA5CD9" w:rsidRDefault="00AA5CD9">
      <w:pPr>
        <w:pStyle w:val="TOC2"/>
        <w:tabs>
          <w:tab w:val="right" w:leader="dot" w:pos="9350"/>
        </w:tabs>
        <w:rPr>
          <w:rFonts w:asciiTheme="minorHAnsi" w:eastAsiaTheme="minorEastAsia" w:hAnsiTheme="minorHAnsi" w:cstheme="minorBidi"/>
          <w:noProof/>
          <w:sz w:val="24"/>
        </w:rPr>
      </w:pPr>
      <w:hyperlink w:anchor="_Toc234711495" w:history="1">
        <w:r w:rsidRPr="00F10585">
          <w:rPr>
            <w:rStyle w:val="Hyperlink"/>
            <w:b/>
            <w:bCs/>
            <w:noProof/>
          </w:rPr>
          <w:t>C3. Proposed Firewall and IDS Rules</w:t>
        </w:r>
        <w:r>
          <w:rPr>
            <w:noProof/>
            <w:webHidden/>
          </w:rPr>
          <w:tab/>
        </w:r>
        <w:r>
          <w:rPr>
            <w:noProof/>
            <w:webHidden/>
          </w:rPr>
          <w:fldChar w:fldCharType="begin"/>
        </w:r>
        <w:r>
          <w:rPr>
            <w:noProof/>
            <w:webHidden/>
          </w:rPr>
          <w:instrText xml:space="preserve"> PAGEREF _Toc234711495 \h </w:instrText>
        </w:r>
        <w:r>
          <w:rPr>
            <w:noProof/>
            <w:webHidden/>
          </w:rPr>
        </w:r>
        <w:r>
          <w:rPr>
            <w:noProof/>
            <w:webHidden/>
          </w:rPr>
          <w:fldChar w:fldCharType="separate"/>
        </w:r>
        <w:r>
          <w:rPr>
            <w:noProof/>
            <w:webHidden/>
          </w:rPr>
          <w:t>10</w:t>
        </w:r>
        <w:r>
          <w:rPr>
            <w:noProof/>
            <w:webHidden/>
          </w:rPr>
          <w:fldChar w:fldCharType="end"/>
        </w:r>
      </w:hyperlink>
    </w:p>
    <w:p w14:paraId="2405AAB5" w14:textId="2EE6653D" w:rsidR="00AA5CD9" w:rsidRDefault="00AA5CD9">
      <w:pPr>
        <w:pStyle w:val="TOC1"/>
        <w:rPr>
          <w:rFonts w:asciiTheme="minorHAnsi" w:eastAsiaTheme="minorEastAsia" w:hAnsiTheme="minorHAnsi" w:cstheme="minorBidi"/>
          <w:noProof/>
          <w:sz w:val="24"/>
        </w:rPr>
      </w:pPr>
      <w:hyperlink w:anchor="_Toc234711496" w:history="1">
        <w:r w:rsidRPr="00F10585">
          <w:rPr>
            <w:rStyle w:val="Hyperlink"/>
            <w:b/>
            <w:bCs/>
            <w:noProof/>
          </w:rPr>
          <w:t>D.</w:t>
        </w:r>
        <w:r>
          <w:rPr>
            <w:rFonts w:asciiTheme="minorHAnsi" w:eastAsiaTheme="minorEastAsia" w:hAnsiTheme="minorHAnsi" w:cstheme="minorBidi"/>
            <w:noProof/>
            <w:sz w:val="24"/>
          </w:rPr>
          <w:tab/>
        </w:r>
        <w:r w:rsidRPr="00F10585">
          <w:rPr>
            <w:rStyle w:val="Hyperlink"/>
            <w:b/>
            <w:bCs/>
            <w:noProof/>
          </w:rPr>
          <w:t>References</w:t>
        </w:r>
        <w:r>
          <w:rPr>
            <w:noProof/>
            <w:webHidden/>
          </w:rPr>
          <w:tab/>
        </w:r>
        <w:r>
          <w:rPr>
            <w:noProof/>
            <w:webHidden/>
          </w:rPr>
          <w:fldChar w:fldCharType="begin"/>
        </w:r>
        <w:r>
          <w:rPr>
            <w:noProof/>
            <w:webHidden/>
          </w:rPr>
          <w:instrText xml:space="preserve"> PAGEREF _Toc234711496 \h </w:instrText>
        </w:r>
        <w:r>
          <w:rPr>
            <w:noProof/>
            <w:webHidden/>
          </w:rPr>
        </w:r>
        <w:r>
          <w:rPr>
            <w:noProof/>
            <w:webHidden/>
          </w:rPr>
          <w:fldChar w:fldCharType="separate"/>
        </w:r>
        <w:r>
          <w:rPr>
            <w:noProof/>
            <w:webHidden/>
          </w:rPr>
          <w:t>12</w:t>
        </w:r>
        <w:r>
          <w:rPr>
            <w:noProof/>
            <w:webHidden/>
          </w:rPr>
          <w:fldChar w:fldCharType="end"/>
        </w:r>
      </w:hyperlink>
    </w:p>
    <w:p w14:paraId="18878FF9" w14:textId="0872B9CC" w:rsidR="00526039" w:rsidRDefault="00526039" w:rsidP="00526039">
      <w:pPr>
        <w:spacing w:before="240" w:after="360" w:line="240" w:lineRule="auto"/>
        <w:rPr>
          <w:b/>
          <w:bCs/>
          <w:sz w:val="32"/>
          <w:szCs w:val="32"/>
        </w:rPr>
      </w:pPr>
      <w:r>
        <w:rPr>
          <w:b/>
          <w:bCs/>
          <w:sz w:val="32"/>
          <w:szCs w:val="32"/>
        </w:rPr>
        <w:fldChar w:fldCharType="end"/>
      </w:r>
    </w:p>
    <w:p w14:paraId="4A7E9BF3" w14:textId="482F0637" w:rsidR="009E4070" w:rsidRDefault="00526039" w:rsidP="00526039">
      <w:pPr>
        <w:rPr>
          <w:b/>
          <w:bCs/>
          <w:sz w:val="32"/>
          <w:szCs w:val="32"/>
        </w:rPr>
      </w:pPr>
      <w:r>
        <w:rPr>
          <w:b/>
          <w:bCs/>
          <w:sz w:val="32"/>
          <w:szCs w:val="32"/>
        </w:rPr>
        <w:br w:type="page"/>
      </w:r>
    </w:p>
    <w:p w14:paraId="0F356868" w14:textId="21623E90" w:rsidR="009A229E" w:rsidRDefault="000211F7" w:rsidP="00A45C00">
      <w:pPr>
        <w:pStyle w:val="Heading1"/>
        <w:numPr>
          <w:ilvl w:val="0"/>
          <w:numId w:val="4"/>
        </w:numPr>
        <w:spacing w:before="240" w:after="120" w:line="240" w:lineRule="auto"/>
        <w:ind w:left="360"/>
        <w:rPr>
          <w:rFonts w:ascii="Times New Roman" w:hAnsi="Times New Roman" w:cs="Times New Roman"/>
          <w:b/>
          <w:bCs/>
          <w:color w:val="auto"/>
          <w:sz w:val="28"/>
          <w:szCs w:val="28"/>
        </w:rPr>
      </w:pPr>
      <w:bookmarkStart w:id="0" w:name="_Toc234711484"/>
      <w:r w:rsidRPr="009E4070">
        <w:rPr>
          <w:rFonts w:ascii="Times New Roman" w:hAnsi="Times New Roman" w:cs="Times New Roman"/>
          <w:b/>
          <w:bCs/>
          <w:color w:val="auto"/>
          <w:sz w:val="28"/>
          <w:szCs w:val="28"/>
        </w:rPr>
        <w:lastRenderedPageBreak/>
        <w:t>Incident Response Evaluation</w:t>
      </w:r>
      <w:bookmarkEnd w:id="0"/>
    </w:p>
    <w:p w14:paraId="2200F733" w14:textId="61A1515C" w:rsidR="00EB6625" w:rsidRPr="00EB6625" w:rsidRDefault="00674D88" w:rsidP="005C04FC">
      <w:pPr>
        <w:spacing w:before="0" w:after="120" w:line="360" w:lineRule="auto"/>
      </w:pPr>
      <w:r w:rsidRPr="00674D88">
        <w:t>On June 24, 2025, FinSecure Corp. had a malware incident. An employee from the HR department received and opened a phishing email containing a PDF attachment that installed the GhostX remote access Trojan (RAT) on the employee’s workstation. FinSecure detected the infection via an anomaly in the system using their IDS, then isolated the workstation, identified the malware, performed a system restore, and started an antivirus scan on the HR subnet, not just the workstation. This was not the end, as the antivirus definitions were updated the following morning after the IT department had a complete picture of the activity on their system through the logs and further investigation</w:t>
      </w:r>
      <w:r w:rsidR="00EB6625">
        <w:t>.</w:t>
      </w:r>
    </w:p>
    <w:p w14:paraId="010459B5" w14:textId="1CFBF155" w:rsidR="00EB6625" w:rsidRDefault="000211F7" w:rsidP="00EB6625">
      <w:pPr>
        <w:pStyle w:val="Heading2"/>
        <w:spacing w:before="240" w:after="120" w:line="240" w:lineRule="auto"/>
        <w:rPr>
          <w:rFonts w:ascii="Times New Roman" w:hAnsi="Times New Roman" w:cs="Times New Roman"/>
          <w:b/>
          <w:bCs/>
          <w:color w:val="auto"/>
          <w:sz w:val="25"/>
          <w:szCs w:val="25"/>
        </w:rPr>
      </w:pPr>
      <w:bookmarkStart w:id="1" w:name="_Toc234711485"/>
      <w:r w:rsidRPr="009E4070">
        <w:rPr>
          <w:rFonts w:ascii="Times New Roman" w:hAnsi="Times New Roman" w:cs="Times New Roman"/>
          <w:b/>
          <w:bCs/>
          <w:color w:val="auto"/>
          <w:sz w:val="25"/>
          <w:szCs w:val="25"/>
        </w:rPr>
        <w:t xml:space="preserve">A1. Incident Response </w:t>
      </w:r>
      <w:r w:rsidR="009E4070" w:rsidRPr="009E4070">
        <w:rPr>
          <w:rFonts w:ascii="Times New Roman" w:hAnsi="Times New Roman" w:cs="Times New Roman"/>
          <w:b/>
          <w:bCs/>
          <w:color w:val="auto"/>
          <w:sz w:val="25"/>
          <w:szCs w:val="25"/>
        </w:rPr>
        <w:t>Actions</w:t>
      </w:r>
      <w:bookmarkEnd w:id="1"/>
    </w:p>
    <w:p w14:paraId="2DFBDBED" w14:textId="47AE5DEA" w:rsidR="009E32AA" w:rsidRPr="009E32AA" w:rsidRDefault="009E32AA" w:rsidP="009E32AA">
      <w:pPr>
        <w:spacing w:before="0" w:after="120" w:line="360" w:lineRule="auto"/>
      </w:pPr>
      <w:r w:rsidRPr="009E32AA">
        <w:t xml:space="preserve">The dates, times, and response actions in this section </w:t>
      </w:r>
      <w:r>
        <w:t xml:space="preserve">are drawn from the incident timeline and the </w:t>
      </w:r>
      <w:r w:rsidRPr="009E32AA">
        <w:t xml:space="preserve">response procedure summary </w:t>
      </w:r>
      <w:sdt>
        <w:sdtPr>
          <w:id w:val="1640697487"/>
          <w:citation/>
        </w:sdtPr>
        <w:sdtEndPr/>
        <w:sdtContent>
          <w:r>
            <w:fldChar w:fldCharType="begin"/>
          </w:r>
          <w:r w:rsidR="00802E65">
            <w:instrText xml:space="preserve">CITATION Wes \p 1 \y  \l 1033 </w:instrText>
          </w:r>
          <w:r>
            <w:fldChar w:fldCharType="separate"/>
          </w:r>
          <w:r w:rsidR="00802E65">
            <w:rPr>
              <w:noProof/>
            </w:rPr>
            <w:t>(Western Governors University, p. 1)</w:t>
          </w:r>
          <w:r>
            <w:fldChar w:fldCharType="end"/>
          </w:r>
        </w:sdtContent>
      </w:sdt>
      <w:r w:rsidRPr="009E32AA">
        <w:t>.</w:t>
      </w:r>
    </w:p>
    <w:p w14:paraId="3F43A4AA" w14:textId="1C1375F3" w:rsidR="00A45C00" w:rsidRDefault="00A45C00" w:rsidP="00F24736">
      <w:pPr>
        <w:spacing w:before="240" w:after="120" w:line="240" w:lineRule="auto"/>
        <w:rPr>
          <w:b/>
          <w:bCs/>
        </w:rPr>
      </w:pPr>
      <w:r w:rsidRPr="00A45C00">
        <w:rPr>
          <w:b/>
          <w:bCs/>
        </w:rPr>
        <w:t xml:space="preserve">Action </w:t>
      </w:r>
      <w:r w:rsidR="00686D12">
        <w:rPr>
          <w:b/>
          <w:bCs/>
        </w:rPr>
        <w:t>#1</w:t>
      </w:r>
      <w:r w:rsidRPr="00A45C00">
        <w:rPr>
          <w:b/>
          <w:bCs/>
        </w:rPr>
        <w:t xml:space="preserve">: </w:t>
      </w:r>
      <w:r w:rsidR="00183E59" w:rsidRPr="00183E59">
        <w:rPr>
          <w:b/>
          <w:bCs/>
        </w:rPr>
        <w:t xml:space="preserve">IDS </w:t>
      </w:r>
      <w:r w:rsidR="007D5544">
        <w:rPr>
          <w:b/>
          <w:bCs/>
        </w:rPr>
        <w:t>Detection and Alert</w:t>
      </w:r>
    </w:p>
    <w:p w14:paraId="78F6BEAB" w14:textId="6AE78337" w:rsidR="00686D12" w:rsidRDefault="00DC552B" w:rsidP="005C04FC">
      <w:pPr>
        <w:spacing w:before="0" w:after="120" w:line="360" w:lineRule="auto"/>
        <w:rPr>
          <w:rFonts w:eastAsia="Times New Roman"/>
        </w:rPr>
      </w:pPr>
      <w:r w:rsidRPr="00DC552B">
        <w:rPr>
          <w:rFonts w:eastAsia="Times New Roman"/>
        </w:rPr>
        <w:t>The centralized IDS detected possible GhostX command-and-control traffic from the infected workstation. The alert popped up between about 9:50 a</w:t>
      </w:r>
      <w:r w:rsidR="0068392B">
        <w:rPr>
          <w:rFonts w:eastAsia="Times New Roman"/>
        </w:rPr>
        <w:t>.</w:t>
      </w:r>
      <w:r w:rsidRPr="00DC552B">
        <w:rPr>
          <w:rFonts w:eastAsia="Times New Roman"/>
        </w:rPr>
        <w:t>m</w:t>
      </w:r>
      <w:r w:rsidR="0068392B">
        <w:rPr>
          <w:rFonts w:eastAsia="Times New Roman"/>
        </w:rPr>
        <w:t>.</w:t>
      </w:r>
      <w:r w:rsidRPr="00DC552B">
        <w:rPr>
          <w:rFonts w:eastAsia="Times New Roman"/>
        </w:rPr>
        <w:t xml:space="preserve"> and 9:52 a</w:t>
      </w:r>
      <w:r w:rsidR="0068392B">
        <w:rPr>
          <w:rFonts w:eastAsia="Times New Roman"/>
        </w:rPr>
        <w:t>.</w:t>
      </w:r>
      <w:r w:rsidRPr="00DC552B">
        <w:rPr>
          <w:rFonts w:eastAsia="Times New Roman"/>
        </w:rPr>
        <w:t>m</w:t>
      </w:r>
      <w:r w:rsidR="0068392B">
        <w:rPr>
          <w:rFonts w:eastAsia="Times New Roman"/>
        </w:rPr>
        <w:t>.</w:t>
      </w:r>
      <w:r w:rsidRPr="00DC552B">
        <w:rPr>
          <w:rFonts w:eastAsia="Times New Roman"/>
        </w:rPr>
        <w:t>, according to their security incident logs. FinSecure’s procedure also required that the alert be sent to on-call IT staff via text message and email</w:t>
      </w:r>
      <w:r w:rsidR="00686D12" w:rsidRPr="00686D12">
        <w:rPr>
          <w:rFonts w:eastAsia="Times New Roman"/>
        </w:rPr>
        <w:t>.</w:t>
      </w:r>
    </w:p>
    <w:p w14:paraId="1F6C7773" w14:textId="3E73CB6D" w:rsidR="00A45C00" w:rsidRDefault="00A45C00" w:rsidP="00F24736">
      <w:pPr>
        <w:spacing w:before="240" w:after="120" w:line="240" w:lineRule="auto"/>
        <w:rPr>
          <w:b/>
          <w:bCs/>
        </w:rPr>
      </w:pPr>
      <w:r w:rsidRPr="00A45C00">
        <w:rPr>
          <w:b/>
          <w:bCs/>
        </w:rPr>
        <w:t xml:space="preserve">Action </w:t>
      </w:r>
      <w:r w:rsidR="007D5544">
        <w:rPr>
          <w:b/>
          <w:bCs/>
        </w:rPr>
        <w:t>#</w:t>
      </w:r>
      <w:r w:rsidRPr="00A45C00">
        <w:rPr>
          <w:b/>
          <w:bCs/>
        </w:rPr>
        <w:t xml:space="preserve">2: </w:t>
      </w:r>
      <w:r w:rsidR="00CA74F5" w:rsidRPr="00CA74F5">
        <w:rPr>
          <w:b/>
          <w:bCs/>
        </w:rPr>
        <w:t xml:space="preserve">Isolating the </w:t>
      </w:r>
      <w:r w:rsidR="00F4115B">
        <w:rPr>
          <w:b/>
          <w:bCs/>
        </w:rPr>
        <w:t>Impacted</w:t>
      </w:r>
      <w:r w:rsidR="00CA74F5" w:rsidRPr="00CA74F5">
        <w:rPr>
          <w:b/>
          <w:bCs/>
        </w:rPr>
        <w:t xml:space="preserve"> Workstation</w:t>
      </w:r>
    </w:p>
    <w:p w14:paraId="2CE42E9B" w14:textId="7A1E0583" w:rsidR="00EB6625" w:rsidRPr="00A45C00" w:rsidRDefault="00DC552B" w:rsidP="00EB6625">
      <w:pPr>
        <w:spacing w:before="0" w:after="120" w:line="360" w:lineRule="auto"/>
      </w:pPr>
      <w:r w:rsidRPr="00DC552B">
        <w:rPr>
          <w:rFonts w:eastAsia="Times New Roman"/>
        </w:rPr>
        <w:t>FinSecure disabled the network connection to the compromised workstation. The department was prompt in its action, as only 10-15 minutes had passed since it was notified of an anomaly. FinSecure promptly acted to isolate and prevent the RAT from sending information over the network (whether by sending data out or attempting to access internal networks)</w:t>
      </w:r>
      <w:r w:rsidR="00B03A8C">
        <w:rPr>
          <w:rFonts w:eastAsia="Times New Roman"/>
        </w:rPr>
        <w:t>.</w:t>
      </w:r>
    </w:p>
    <w:p w14:paraId="6F2454E7" w14:textId="14BF8794" w:rsidR="00A45C00" w:rsidRDefault="00A45C00" w:rsidP="00F24736">
      <w:pPr>
        <w:spacing w:before="240" w:after="120" w:line="240" w:lineRule="auto"/>
        <w:rPr>
          <w:b/>
          <w:bCs/>
        </w:rPr>
      </w:pPr>
      <w:r w:rsidRPr="00A45C00">
        <w:rPr>
          <w:b/>
          <w:bCs/>
        </w:rPr>
        <w:t xml:space="preserve">Action </w:t>
      </w:r>
      <w:r w:rsidR="007D5544">
        <w:rPr>
          <w:b/>
          <w:bCs/>
        </w:rPr>
        <w:t>#</w:t>
      </w:r>
      <w:r w:rsidRPr="00A45C00">
        <w:rPr>
          <w:b/>
          <w:bCs/>
        </w:rPr>
        <w:t xml:space="preserve">3: </w:t>
      </w:r>
      <w:r w:rsidR="00CA74F5" w:rsidRPr="00CA74F5">
        <w:rPr>
          <w:b/>
          <w:bCs/>
        </w:rPr>
        <w:t xml:space="preserve">Identifying Malware and </w:t>
      </w:r>
      <w:r w:rsidR="00BC7876">
        <w:rPr>
          <w:b/>
          <w:bCs/>
        </w:rPr>
        <w:t>Recovering</w:t>
      </w:r>
      <w:r w:rsidR="00CA74F5" w:rsidRPr="00CA74F5">
        <w:rPr>
          <w:b/>
          <w:bCs/>
        </w:rPr>
        <w:t xml:space="preserve"> the Endpoint</w:t>
      </w:r>
    </w:p>
    <w:p w14:paraId="5426AFEF" w14:textId="56BF028B" w:rsidR="00F24736" w:rsidRDefault="00606E55" w:rsidP="00F24736">
      <w:pPr>
        <w:spacing w:before="0" w:after="120" w:line="360" w:lineRule="auto"/>
        <w:rPr>
          <w:rFonts w:eastAsia="Times New Roman"/>
        </w:rPr>
      </w:pPr>
      <w:r w:rsidRPr="00606E55">
        <w:rPr>
          <w:rFonts w:eastAsia="Times New Roman"/>
        </w:rPr>
        <w:t>At 11:25 a</w:t>
      </w:r>
      <w:r w:rsidR="0068392B">
        <w:rPr>
          <w:rFonts w:eastAsia="Times New Roman"/>
        </w:rPr>
        <w:t>.</w:t>
      </w:r>
      <w:r w:rsidRPr="00606E55">
        <w:rPr>
          <w:rFonts w:eastAsia="Times New Roman"/>
        </w:rPr>
        <w:t>m</w:t>
      </w:r>
      <w:r w:rsidR="0068392B">
        <w:rPr>
          <w:rFonts w:eastAsia="Times New Roman"/>
        </w:rPr>
        <w:t>.</w:t>
      </w:r>
      <w:r w:rsidRPr="00606E55">
        <w:rPr>
          <w:rFonts w:eastAsia="Times New Roman"/>
        </w:rPr>
        <w:t>, the malware installed on the system was identified as the GhostX RAT. At 1:45 p</w:t>
      </w:r>
      <w:r w:rsidR="0068392B">
        <w:rPr>
          <w:rFonts w:eastAsia="Times New Roman"/>
        </w:rPr>
        <w:t>.</w:t>
      </w:r>
      <w:r w:rsidRPr="00606E55">
        <w:rPr>
          <w:rFonts w:eastAsia="Times New Roman"/>
        </w:rPr>
        <w:t>m</w:t>
      </w:r>
      <w:r w:rsidR="0068392B">
        <w:rPr>
          <w:rFonts w:eastAsia="Times New Roman"/>
        </w:rPr>
        <w:t>.</w:t>
      </w:r>
      <w:r w:rsidRPr="00606E55">
        <w:rPr>
          <w:rFonts w:eastAsia="Times New Roman"/>
        </w:rPr>
        <w:t xml:space="preserve">, the endpoint was restored from a backup, followed by an antivirus scan </w:t>
      </w:r>
      <w:r w:rsidR="00E13720" w:rsidRPr="00E13720">
        <w:rPr>
          <w:rFonts w:eastAsia="Times New Roman"/>
        </w:rPr>
        <w:t>on the HR subnet</w:t>
      </w:r>
      <w:r w:rsidR="00E13720">
        <w:rPr>
          <w:rFonts w:eastAsia="Times New Roman"/>
        </w:rPr>
        <w:t xml:space="preserve"> </w:t>
      </w:r>
      <w:r w:rsidRPr="00606E55">
        <w:rPr>
          <w:rFonts w:eastAsia="Times New Roman"/>
        </w:rPr>
        <w:t>to detect any malware. Later, the next morning, an update to the antivirus definitions across their entire network was applied</w:t>
      </w:r>
      <w:r w:rsidR="00281E13" w:rsidRPr="00281E13">
        <w:rPr>
          <w:rFonts w:eastAsia="Times New Roman"/>
        </w:rPr>
        <w:t xml:space="preserve">. </w:t>
      </w:r>
    </w:p>
    <w:p w14:paraId="4F094CF3" w14:textId="368CD726" w:rsidR="009E4070" w:rsidRPr="00F7557C" w:rsidRDefault="009E4070" w:rsidP="00F7557C">
      <w:pPr>
        <w:pStyle w:val="Heading2"/>
        <w:rPr>
          <w:rFonts w:ascii="Times New Roman" w:eastAsia="Times New Roman" w:hAnsi="Times New Roman" w:cs="Times New Roman"/>
          <w:b/>
          <w:bCs/>
          <w:color w:val="auto"/>
          <w:sz w:val="25"/>
          <w:szCs w:val="25"/>
        </w:rPr>
      </w:pPr>
      <w:bookmarkStart w:id="2" w:name="_Toc234711486"/>
      <w:r w:rsidRPr="00F7557C">
        <w:rPr>
          <w:rFonts w:ascii="Times New Roman" w:hAnsi="Times New Roman" w:cs="Times New Roman"/>
          <w:b/>
          <w:bCs/>
          <w:color w:val="auto"/>
          <w:sz w:val="25"/>
          <w:szCs w:val="25"/>
        </w:rPr>
        <w:lastRenderedPageBreak/>
        <w:t>A2. Evaluation of Incident Response Effectiveness</w:t>
      </w:r>
      <w:bookmarkEnd w:id="2"/>
    </w:p>
    <w:p w14:paraId="18B80CC0" w14:textId="61C1CAE9" w:rsidR="00B24ADE" w:rsidRDefault="00B86B6C" w:rsidP="00B24ADE">
      <w:pPr>
        <w:spacing w:before="0" w:after="120" w:line="360" w:lineRule="auto"/>
      </w:pPr>
      <w:r w:rsidRPr="00B86B6C">
        <w:t>NIST Special Publication 800-61 Revision 3 links incident to the Detect, Respond, and Recover functions. It is used as a guide for any incident to help the respective organizations better prepare for, detect, respond to, and recover from it</w:t>
      </w:r>
      <w:r w:rsidR="002C112E">
        <w:t xml:space="preserve"> </w:t>
      </w:r>
      <w:r w:rsidR="00B8513B">
        <w:rPr>
          <w:noProof/>
        </w:rPr>
        <w:t>(Nelson</w:t>
      </w:r>
      <w:r w:rsidR="00241415">
        <w:rPr>
          <w:noProof/>
        </w:rPr>
        <w:t xml:space="preserve"> et al.</w:t>
      </w:r>
      <w:r w:rsidR="00B8513B">
        <w:rPr>
          <w:noProof/>
        </w:rPr>
        <w:t>, 2025)</w:t>
      </w:r>
      <w:r w:rsidR="00F24736">
        <w:t>.</w:t>
      </w:r>
    </w:p>
    <w:p w14:paraId="34CE04D3" w14:textId="6C33C276" w:rsidR="00CD20DA" w:rsidRPr="00F7557C" w:rsidRDefault="00CD20DA" w:rsidP="00B24ADE">
      <w:pPr>
        <w:spacing w:before="240" w:after="120" w:line="240" w:lineRule="auto"/>
      </w:pPr>
      <w:r>
        <w:rPr>
          <w:rFonts w:eastAsia="Times New Roman"/>
          <w:b/>
        </w:rPr>
        <w:t>Evaluation of Action 1:</w:t>
      </w:r>
    </w:p>
    <w:p w14:paraId="1E6C2E7B" w14:textId="4846ECB1" w:rsidR="00341ABF" w:rsidRDefault="00341ABF" w:rsidP="00341ABF">
      <w:pPr>
        <w:spacing w:before="0" w:after="120" w:line="360" w:lineRule="auto"/>
      </w:pPr>
      <w:r>
        <w:t>The company’s Intrusion Detection System detection was a great start because FinSecure had the first indicator of infection, which triggered their chain of actions. Therefore, however, in an even better scenario, monitoring of the workstation’s activity could provide quick, even pre-emptive, alerts to suspicious activity. The detection of traffic (which required investigation) is a good use case that demonstrates the detector function that organizations follow to prepare for such incidents. The emails and notifications also helped ensure that the alerts reached persons assigned to the case quickly</w:t>
      </w:r>
      <w:r w:rsidR="00A52E07">
        <w:t xml:space="preserve"> </w:t>
      </w:r>
      <w:sdt>
        <w:sdtPr>
          <w:id w:val="-1160315931"/>
          <w:citation/>
        </w:sdtPr>
        <w:sdtEndPr/>
        <w:sdtContent>
          <w:r w:rsidR="00A52E07">
            <w:fldChar w:fldCharType="begin"/>
          </w:r>
          <w:r w:rsidR="00A52E07">
            <w:instrText xml:space="preserve"> CITATION Sca07 \l 1033 </w:instrText>
          </w:r>
          <w:r w:rsidR="00A52E07">
            <w:fldChar w:fldCharType="separate"/>
          </w:r>
          <w:r w:rsidR="00A52E07">
            <w:rPr>
              <w:noProof/>
            </w:rPr>
            <w:t>(Scarfone &amp; Mell, 2007)</w:t>
          </w:r>
          <w:r w:rsidR="00A52E07">
            <w:fldChar w:fldCharType="end"/>
          </w:r>
        </w:sdtContent>
      </w:sdt>
      <w:r>
        <w:t>.</w:t>
      </w:r>
    </w:p>
    <w:p w14:paraId="4D87540A" w14:textId="75D686DC" w:rsidR="00F24736" w:rsidRDefault="00341ABF" w:rsidP="00341ABF">
      <w:pPr>
        <w:spacing w:before="0" w:after="120" w:line="360" w:lineRule="auto"/>
      </w:pPr>
      <w:r>
        <w:t>The process’s weakness was its response time. The employees opened the attachment at 9:14 a</w:t>
      </w:r>
      <w:r w:rsidR="004609EB">
        <w:t>.</w:t>
      </w:r>
      <w:r>
        <w:t>m. However, suspicious activity was first detected between 9:50</w:t>
      </w:r>
      <w:r w:rsidR="00DD593A">
        <w:t xml:space="preserve"> a</w:t>
      </w:r>
      <w:r w:rsidR="003B5D84">
        <w:t>.</w:t>
      </w:r>
      <w:r w:rsidR="00DD593A">
        <w:t>m</w:t>
      </w:r>
      <w:r w:rsidR="003B5D84">
        <w:t>.</w:t>
      </w:r>
      <w:r>
        <w:t xml:space="preserve"> and 9:52</w:t>
      </w:r>
      <w:r w:rsidR="00DD593A">
        <w:t xml:space="preserve"> a</w:t>
      </w:r>
      <w:r w:rsidR="003B5D84">
        <w:t>.</w:t>
      </w:r>
      <w:r w:rsidR="00DD593A">
        <w:t>m</w:t>
      </w:r>
      <w:r w:rsidR="003B5D84">
        <w:t>.</w:t>
      </w:r>
      <w:r>
        <w:t xml:space="preserve">, indicating that a 36-38-minute </w:t>
      </w:r>
      <w:r w:rsidR="00BF5B07">
        <w:t>period</w:t>
      </w:r>
      <w:r>
        <w:t xml:space="preserve"> had elapsed. Within this time limit, the RAT could have communicated with the command-and-control server. The IDS detected the system anomaly, but detection via workstation activity monitoring would have led to it being addressed sooner. </w:t>
      </w:r>
      <w:r w:rsidR="00DE3D46" w:rsidRPr="00DE3D46">
        <w:t>It could have reduced the chance of data exfiltration</w:t>
      </w:r>
      <w:r w:rsidR="00CA42EB" w:rsidRPr="00CA42EB">
        <w:t>.</w:t>
      </w:r>
    </w:p>
    <w:p w14:paraId="3816482A" w14:textId="4EC743F8" w:rsidR="00CD20DA" w:rsidRPr="00F7557C" w:rsidRDefault="00CD20DA" w:rsidP="00F7557C">
      <w:pPr>
        <w:spacing w:before="240" w:after="120" w:line="240" w:lineRule="auto"/>
        <w:rPr>
          <w:rFonts w:eastAsiaTheme="minorEastAsia"/>
          <w:b/>
          <w:bCs/>
        </w:rPr>
      </w:pPr>
      <w:r w:rsidRPr="00F7557C">
        <w:rPr>
          <w:b/>
          <w:bCs/>
        </w:rPr>
        <w:t>Evaluation of Action 2:</w:t>
      </w:r>
    </w:p>
    <w:p w14:paraId="00EB7B94" w14:textId="3BA8E267" w:rsidR="00F24736" w:rsidRDefault="00BF4E57" w:rsidP="00F7557C">
      <w:pPr>
        <w:spacing w:before="0" w:after="120" w:line="360" w:lineRule="auto"/>
      </w:pPr>
      <w:r w:rsidRPr="00BF4E57">
        <w:t xml:space="preserve">Disabling the switch port removed the workstation’s connection to the network, </w:t>
      </w:r>
      <w:r w:rsidR="00927240">
        <w:t xml:space="preserve">thereby reducing the likelihood of </w:t>
      </w:r>
      <w:r w:rsidRPr="00BF4E57">
        <w:t>further communication or movement, which is covered by the respond function</w:t>
      </w:r>
      <w:r w:rsidR="007C4DA9">
        <w:t xml:space="preserve"> </w:t>
      </w:r>
      <w:r w:rsidR="007C4DA9">
        <w:rPr>
          <w:noProof/>
        </w:rPr>
        <w:t>(Nelson et al., 2025)</w:t>
      </w:r>
      <w:r w:rsidRPr="00BF4E57">
        <w:t>. Furthermore, FinSecure’s swift response helped because they acted quickly after the alert. An issue related to this concerns certainty about isolation, because the IDS shows SMB traffic at 10:45</w:t>
      </w:r>
      <w:r>
        <w:t xml:space="preserve"> a</w:t>
      </w:r>
      <w:r w:rsidR="003B5D84">
        <w:t>.</w:t>
      </w:r>
      <w:r>
        <w:t>m</w:t>
      </w:r>
      <w:r w:rsidR="003B5D84">
        <w:t>.</w:t>
      </w:r>
      <w:r w:rsidRPr="00BF4E57">
        <w:t xml:space="preserve"> from 10.1.1.45 to 10.1.2.10. That was already after workstation isolation was reported; it is not possible to be 100 percent certain in this matter because such alerts can arise as delayed activity. Thus, further investigation into the port’s status would be needed to determine whether the workstation or any other endpoint is isolated. </w:t>
      </w:r>
      <w:r w:rsidR="00A460C1" w:rsidRPr="00A460C1">
        <w:t>Therefore, the investigation should confirm whether the port was disabled and what caused the later alert</w:t>
      </w:r>
      <w:r w:rsidR="00EB6625">
        <w:t>.</w:t>
      </w:r>
    </w:p>
    <w:p w14:paraId="5460C4AD" w14:textId="26D60D97" w:rsidR="007918C9" w:rsidRDefault="007918C9" w:rsidP="007918C9">
      <w:r>
        <w:br w:type="page"/>
      </w:r>
    </w:p>
    <w:p w14:paraId="6ACF0A5D" w14:textId="65F19B9B" w:rsidR="00CD20DA" w:rsidRPr="00F7557C" w:rsidRDefault="00CD20DA" w:rsidP="00F7557C">
      <w:pPr>
        <w:spacing w:before="240" w:after="120" w:line="240" w:lineRule="auto"/>
        <w:rPr>
          <w:b/>
          <w:bCs/>
        </w:rPr>
      </w:pPr>
      <w:r w:rsidRPr="00F7557C">
        <w:rPr>
          <w:b/>
          <w:bCs/>
        </w:rPr>
        <w:lastRenderedPageBreak/>
        <w:t>Evaluation of Action 3:</w:t>
      </w:r>
    </w:p>
    <w:p w14:paraId="16EC8E01" w14:textId="4B0E5381" w:rsidR="001800DF" w:rsidRDefault="001800DF" w:rsidP="001800DF">
      <w:pPr>
        <w:spacing w:before="0" w:after="120" w:line="360" w:lineRule="auto"/>
      </w:pPr>
      <w:r>
        <w:t>Lastly, restoring the system from backups and scanning the computer subnet on the computers at FinSecure fall under the recovery function</w:t>
      </w:r>
      <w:r w:rsidR="00927240">
        <w:t xml:space="preserve"> </w:t>
      </w:r>
      <w:r w:rsidR="00927240">
        <w:rPr>
          <w:noProof/>
        </w:rPr>
        <w:t>(Nelson et al., 2025)</w:t>
      </w:r>
      <w:r>
        <w:t>. It helped them detect any malware that might have spread to other systems while investigating the case involving the original compromised workstation.</w:t>
      </w:r>
    </w:p>
    <w:p w14:paraId="234852C9" w14:textId="1A25B95E" w:rsidR="00F7557C" w:rsidRDefault="001800DF" w:rsidP="001800DF">
      <w:pPr>
        <w:spacing w:before="0" w:after="120" w:line="360" w:lineRule="auto"/>
      </w:pPr>
      <w:r>
        <w:t xml:space="preserve">Still, the recovery could have been even stronger with verification of the backup source; the logs do not indicate whether the backup restore was verified or what the endpoint underwent before being used again. One of the main reasons for the improvement in recovery was </w:t>
      </w:r>
      <w:r w:rsidR="00CD1B02">
        <w:t>that the antivirus definitions</w:t>
      </w:r>
      <w:r w:rsidR="00B34273">
        <w:t xml:space="preserve"> were</w:t>
      </w:r>
      <w:r>
        <w:t xml:space="preserve"> updated much later in the investigation process, the following morning. The endpoint was restored, but more investigation could have been done by running additional checks after restoring the system before declaring the network all clear of any malware</w:t>
      </w:r>
      <w:r w:rsidR="00F7557C">
        <w:t>.</w:t>
      </w:r>
    </w:p>
    <w:p w14:paraId="64C167EA" w14:textId="6D1A414F" w:rsidR="009E4070" w:rsidRPr="00F7557C" w:rsidRDefault="009E4070" w:rsidP="00F7557C">
      <w:pPr>
        <w:pStyle w:val="Heading2"/>
        <w:rPr>
          <w:rFonts w:ascii="Times New Roman" w:hAnsi="Times New Roman" w:cs="Times New Roman"/>
          <w:b/>
          <w:bCs/>
          <w:color w:val="auto"/>
          <w:sz w:val="25"/>
          <w:szCs w:val="25"/>
        </w:rPr>
      </w:pPr>
      <w:bookmarkStart w:id="3" w:name="_Toc234711487"/>
      <w:r w:rsidRPr="00F7557C">
        <w:rPr>
          <w:rFonts w:ascii="Times New Roman" w:hAnsi="Times New Roman" w:cs="Times New Roman"/>
          <w:b/>
          <w:bCs/>
          <w:color w:val="auto"/>
          <w:sz w:val="25"/>
          <w:szCs w:val="25"/>
        </w:rPr>
        <w:t>A3. Incident Response Improvements</w:t>
      </w:r>
      <w:bookmarkEnd w:id="3"/>
    </w:p>
    <w:p w14:paraId="4601F94B" w14:textId="223BA00F" w:rsidR="005818FB" w:rsidRDefault="005818FB" w:rsidP="005818FB">
      <w:pPr>
        <w:pStyle w:val="BodyText"/>
        <w:keepNext/>
        <w:spacing w:before="240" w:line="240" w:lineRule="auto"/>
        <w:rPr>
          <w:rFonts w:eastAsia="Times New Roman"/>
          <w:b/>
        </w:rPr>
      </w:pPr>
      <w:r>
        <w:rPr>
          <w:rFonts w:eastAsia="Times New Roman"/>
          <w:b/>
        </w:rPr>
        <w:t xml:space="preserve">Improvement 1: </w:t>
      </w:r>
      <w:r w:rsidR="005B17AA" w:rsidRPr="005B17AA">
        <w:rPr>
          <w:rFonts w:eastAsia="Times New Roman"/>
          <w:b/>
        </w:rPr>
        <w:t>Faster Alert Review and Containment</w:t>
      </w:r>
    </w:p>
    <w:p w14:paraId="7EBE1D56" w14:textId="14C77288" w:rsidR="005818FB" w:rsidRDefault="00125C44" w:rsidP="005818FB">
      <w:pPr>
        <w:pStyle w:val="BodyText"/>
        <w:keepNext/>
      </w:pPr>
      <w:r w:rsidRPr="00125C44">
        <w:rPr>
          <w:rFonts w:eastAsia="Times New Roman"/>
        </w:rPr>
        <w:t xml:space="preserve">I recommend that FinSecure implement a system in which, if a high-confidence command-and-control alert is received, the endpoint goes offline, or network access controls quarantine the workstation. </w:t>
      </w:r>
      <w:r w:rsidR="004B3806" w:rsidRPr="004B3806">
        <w:rPr>
          <w:rFonts w:eastAsia="Times New Roman"/>
        </w:rPr>
        <w:t>This would reduce the chance of it infecting anything else before an analyst clears it</w:t>
      </w:r>
      <w:r w:rsidRPr="00125C44">
        <w:rPr>
          <w:rFonts w:eastAsia="Times New Roman"/>
        </w:rPr>
        <w:t>. The process also needs to ensure that staff check that it is actually offline and that it still cannot reach or call out to any other systems on the same IP addresses or domain. Once something is detected, it would be locked down immediately, with shorter detection and containment delays, resulting in less malware spread and impact</w:t>
      </w:r>
      <w:r w:rsidR="00940788">
        <w:rPr>
          <w:rFonts w:eastAsia="Times New Roman"/>
        </w:rPr>
        <w:t xml:space="preserve"> </w:t>
      </w:r>
      <w:sdt>
        <w:sdtPr>
          <w:rPr>
            <w:rFonts w:eastAsia="Times New Roman"/>
          </w:rPr>
          <w:id w:val="-740717106"/>
          <w:citation/>
        </w:sdtPr>
        <w:sdtEndPr/>
        <w:sdtContent>
          <w:r w:rsidR="00540F08">
            <w:rPr>
              <w:rFonts w:eastAsia="Times New Roman"/>
            </w:rPr>
            <w:fldChar w:fldCharType="begin"/>
          </w:r>
          <w:r w:rsidR="00540F08">
            <w:rPr>
              <w:rFonts w:eastAsia="Times New Roman"/>
            </w:rPr>
            <w:instrText xml:space="preserve">CITATION Sca07 \t  \l 1033 </w:instrText>
          </w:r>
          <w:r w:rsidR="00540F08">
            <w:rPr>
              <w:rFonts w:eastAsia="Times New Roman"/>
            </w:rPr>
            <w:fldChar w:fldCharType="separate"/>
          </w:r>
          <w:r w:rsidR="00540F08" w:rsidRPr="00540F08">
            <w:rPr>
              <w:rFonts w:eastAsia="Times New Roman"/>
              <w:noProof/>
            </w:rPr>
            <w:t>(Scarfone &amp; Mell, 2007)</w:t>
          </w:r>
          <w:r w:rsidR="00540F08">
            <w:rPr>
              <w:rFonts w:eastAsia="Times New Roman"/>
            </w:rPr>
            <w:fldChar w:fldCharType="end"/>
          </w:r>
        </w:sdtContent>
      </w:sdt>
      <w:r w:rsidR="005818FB">
        <w:rPr>
          <w:rFonts w:eastAsia="Times New Roman"/>
        </w:rPr>
        <w:t>.</w:t>
      </w:r>
    </w:p>
    <w:p w14:paraId="7666BA78" w14:textId="4E166167" w:rsidR="005818FB" w:rsidRDefault="005818FB" w:rsidP="005818FB">
      <w:pPr>
        <w:pStyle w:val="BodyText"/>
        <w:keepNext/>
        <w:spacing w:before="240" w:line="340" w:lineRule="atLeast"/>
        <w:rPr>
          <w:rFonts w:eastAsia="Times New Roman"/>
          <w:b/>
        </w:rPr>
      </w:pPr>
      <w:r>
        <w:rPr>
          <w:rFonts w:eastAsia="Times New Roman"/>
          <w:b/>
        </w:rPr>
        <w:t xml:space="preserve">Improvement 2: </w:t>
      </w:r>
      <w:r w:rsidR="005B17AA" w:rsidRPr="005B17AA">
        <w:rPr>
          <w:rFonts w:eastAsia="Times New Roman"/>
          <w:b/>
        </w:rPr>
        <w:t>Required Post-Incident Review</w:t>
      </w:r>
    </w:p>
    <w:p w14:paraId="5E78700A" w14:textId="6D503EA7" w:rsidR="005818FB" w:rsidRDefault="00677383" w:rsidP="005818FB">
      <w:pPr>
        <w:pStyle w:val="BodyText"/>
        <w:keepNext/>
      </w:pPr>
      <w:r w:rsidRPr="00677383">
        <w:rPr>
          <w:rFonts w:eastAsia="Times New Roman"/>
        </w:rPr>
        <w:t>Before the staff gets the system back up, they should go through the checklist FinSecure provides. The checklist would be to scan the backup, check the current antivirus definition, check for persistence, review affected credentials, and monitor restored systems. Also, the rule requiring an impact across multiple departments before a meeting is held should be updated. Even if a RAT has only infected a workstation, it is still serious, and they need to learn from every incident. If every malware incident were reviewed, FinSecure would identify gaps while the event is still fresh in mind, so they are not repeated</w:t>
      </w:r>
      <w:r w:rsidR="006B26AB">
        <w:rPr>
          <w:rFonts w:eastAsia="Times New Roman"/>
        </w:rPr>
        <w:t xml:space="preserve"> </w:t>
      </w:r>
      <w:r w:rsidR="006B26AB">
        <w:rPr>
          <w:noProof/>
        </w:rPr>
        <w:t>(Nelson et al., 2025)</w:t>
      </w:r>
      <w:r w:rsidR="005818FB">
        <w:rPr>
          <w:rFonts w:eastAsia="Times New Roman"/>
        </w:rPr>
        <w:t>.</w:t>
      </w:r>
    </w:p>
    <w:p w14:paraId="77E2D278" w14:textId="53B14379" w:rsidR="00F7557C" w:rsidRPr="00A6285E" w:rsidRDefault="005818FB" w:rsidP="005818FB">
      <w:r>
        <w:br w:type="page"/>
      </w:r>
    </w:p>
    <w:p w14:paraId="0E3C829C" w14:textId="751C3179" w:rsidR="000211F7" w:rsidRDefault="000211F7" w:rsidP="005818FB">
      <w:pPr>
        <w:pStyle w:val="Heading1"/>
        <w:numPr>
          <w:ilvl w:val="0"/>
          <w:numId w:val="4"/>
        </w:numPr>
        <w:spacing w:before="240" w:after="120" w:line="240" w:lineRule="auto"/>
        <w:ind w:left="360"/>
        <w:rPr>
          <w:rFonts w:ascii="Times New Roman" w:hAnsi="Times New Roman" w:cs="Times New Roman"/>
          <w:b/>
          <w:bCs/>
          <w:color w:val="auto"/>
          <w:sz w:val="28"/>
          <w:szCs w:val="28"/>
        </w:rPr>
      </w:pPr>
      <w:bookmarkStart w:id="4" w:name="_Toc234711488"/>
      <w:r w:rsidRPr="009E4070">
        <w:rPr>
          <w:rFonts w:ascii="Times New Roman" w:hAnsi="Times New Roman" w:cs="Times New Roman"/>
          <w:b/>
          <w:bCs/>
          <w:color w:val="auto"/>
          <w:sz w:val="28"/>
          <w:szCs w:val="28"/>
        </w:rPr>
        <w:lastRenderedPageBreak/>
        <w:t>Network Architecture and Firewall Analysis</w:t>
      </w:r>
      <w:bookmarkEnd w:id="4"/>
    </w:p>
    <w:p w14:paraId="23C596E4" w14:textId="6D8ED4C1" w:rsidR="005818FB" w:rsidRPr="005818FB" w:rsidRDefault="00677383" w:rsidP="005818FB">
      <w:pPr>
        <w:spacing w:before="0" w:after="120" w:line="360" w:lineRule="auto"/>
      </w:pPr>
      <w:r w:rsidRPr="00677383">
        <w:rPr>
          <w:rFonts w:eastAsia="Times New Roman"/>
        </w:rPr>
        <w:t>The simplified architecture places the Internet, edge router, firewall/IDS, public-facing servers, and internal switch in a mostly linear design. The HR subnet (10.1.1.x) and Finance subnet (10.1.2.x) are connected through the same internal switching environment. The diagram and firewall excerpt show several weaknesses that increase the chance that a compromise at one point can spread to other systems</w:t>
      </w:r>
      <w:sdt>
        <w:sdtPr>
          <w:rPr>
            <w:rFonts w:eastAsia="Times New Roman"/>
          </w:rPr>
          <w:id w:val="1830635142"/>
          <w:citation/>
        </w:sdtPr>
        <w:sdtEndPr/>
        <w:sdtContent>
          <w:r w:rsidR="00CA0FD0">
            <w:rPr>
              <w:rFonts w:eastAsia="Times New Roman"/>
            </w:rPr>
            <w:fldChar w:fldCharType="begin"/>
          </w:r>
          <w:r w:rsidR="00CA0FD0">
            <w:rPr>
              <w:rFonts w:eastAsia="Times New Roman"/>
            </w:rPr>
            <w:instrText xml:space="preserve">CITATION Wes \p 2 \l 1033 </w:instrText>
          </w:r>
          <w:r w:rsidR="00CA0FD0">
            <w:rPr>
              <w:rFonts w:eastAsia="Times New Roman"/>
            </w:rPr>
            <w:fldChar w:fldCharType="separate"/>
          </w:r>
          <w:r w:rsidR="00CA0FD0">
            <w:rPr>
              <w:rFonts w:eastAsia="Times New Roman"/>
              <w:noProof/>
            </w:rPr>
            <w:t xml:space="preserve"> </w:t>
          </w:r>
          <w:r w:rsidR="00CA0FD0" w:rsidRPr="00CA0FD0">
            <w:rPr>
              <w:rFonts w:eastAsia="Times New Roman"/>
              <w:noProof/>
            </w:rPr>
            <w:t>(Western Governors University, p. 2)</w:t>
          </w:r>
          <w:r w:rsidR="00CA0FD0">
            <w:rPr>
              <w:rFonts w:eastAsia="Times New Roman"/>
            </w:rPr>
            <w:fldChar w:fldCharType="end"/>
          </w:r>
        </w:sdtContent>
      </w:sdt>
      <w:r w:rsidR="005818FB">
        <w:rPr>
          <w:rFonts w:eastAsia="Times New Roman"/>
        </w:rPr>
        <w:t>.</w:t>
      </w:r>
    </w:p>
    <w:p w14:paraId="667A7193" w14:textId="13C2D481" w:rsidR="009E4070" w:rsidRDefault="009E4070" w:rsidP="00A45C00">
      <w:pPr>
        <w:pStyle w:val="Heading2"/>
        <w:spacing w:before="240" w:after="120" w:line="240" w:lineRule="auto"/>
        <w:rPr>
          <w:rFonts w:ascii="Times New Roman" w:hAnsi="Times New Roman" w:cs="Times New Roman"/>
          <w:b/>
          <w:bCs/>
          <w:color w:val="auto"/>
          <w:sz w:val="25"/>
          <w:szCs w:val="25"/>
        </w:rPr>
      </w:pPr>
      <w:bookmarkStart w:id="5" w:name="_Toc234711489"/>
      <w:r w:rsidRPr="009E4070">
        <w:rPr>
          <w:rFonts w:ascii="Times New Roman" w:hAnsi="Times New Roman" w:cs="Times New Roman"/>
          <w:b/>
          <w:bCs/>
          <w:color w:val="auto"/>
          <w:sz w:val="25"/>
          <w:szCs w:val="25"/>
        </w:rPr>
        <w:t>B1. Network Vulnerabilities</w:t>
      </w:r>
      <w:bookmarkEnd w:id="5"/>
    </w:p>
    <w:p w14:paraId="5B582F60" w14:textId="481CD1FA" w:rsidR="005818FB" w:rsidRDefault="005818FB" w:rsidP="00777E4A">
      <w:pPr>
        <w:pStyle w:val="BodyText"/>
        <w:keepNext/>
        <w:spacing w:before="240" w:line="240" w:lineRule="auto"/>
        <w:rPr>
          <w:rFonts w:eastAsia="Times New Roman"/>
          <w:b/>
        </w:rPr>
      </w:pPr>
      <w:r>
        <w:rPr>
          <w:rFonts w:eastAsia="Times New Roman"/>
          <w:b/>
        </w:rPr>
        <w:t>Vulnerability 1: Public Servers Are Not Separated Into A DMZ</w:t>
      </w:r>
    </w:p>
    <w:p w14:paraId="5CF2A1E3" w14:textId="22D57F68" w:rsidR="005818FB" w:rsidRDefault="003C2BD4" w:rsidP="005818FB">
      <w:pPr>
        <w:pStyle w:val="BodyText"/>
        <w:keepNext/>
      </w:pPr>
      <w:r w:rsidRPr="003C2BD4">
        <w:rPr>
          <w:rFonts w:eastAsia="Times New Roman"/>
        </w:rPr>
        <w:t xml:space="preserve">The web server and mail server are shown behind the same firewall as the internal switch and user networks; there is no separate demilitarized zone between them and the HR &amp; Finance servers. This leaves the public servers too close to the internal network. </w:t>
      </w:r>
      <w:r w:rsidR="00595052" w:rsidRPr="00595052">
        <w:rPr>
          <w:rFonts w:eastAsia="Times New Roman"/>
        </w:rPr>
        <w:t>If the web or mail server is compromised, it could create a way to access systems on the inside</w:t>
      </w:r>
      <w:r w:rsidR="005818FB">
        <w:rPr>
          <w:rFonts w:eastAsia="Times New Roman"/>
        </w:rPr>
        <w:t>.</w:t>
      </w:r>
    </w:p>
    <w:p w14:paraId="620D5ADA" w14:textId="489929CC" w:rsidR="005818FB" w:rsidRDefault="005818FB" w:rsidP="00777E4A">
      <w:pPr>
        <w:pStyle w:val="BodyText"/>
        <w:keepNext/>
        <w:spacing w:before="240" w:line="240" w:lineRule="auto"/>
        <w:rPr>
          <w:rFonts w:eastAsia="Times New Roman"/>
          <w:b/>
        </w:rPr>
      </w:pPr>
      <w:r>
        <w:rPr>
          <w:rFonts w:eastAsia="Times New Roman"/>
          <w:b/>
        </w:rPr>
        <w:t>Vulnerability 2: HR and Finance Lack Strong Internal Segmentation</w:t>
      </w:r>
    </w:p>
    <w:p w14:paraId="63396DBC" w14:textId="01698C24" w:rsidR="005818FB" w:rsidRDefault="003C2BD4" w:rsidP="005818FB">
      <w:pPr>
        <w:pStyle w:val="BodyText"/>
        <w:keepNext/>
      </w:pPr>
      <w:r w:rsidRPr="003C2BD4">
        <w:rPr>
          <w:rFonts w:eastAsia="Times New Roman"/>
        </w:rPr>
        <w:t>The HR and Finance networks are listed as separate subnets, but firewall rule 102 allows access to them for any service. The internal firewall or an access list between these subnets has not been displayed. With the IDS reporting attempted lateral movement across the SMB from an HR address to a Finance address, it means the name alone does not mean much; the subnet is still open and accessible to other users in different subnets</w:t>
      </w:r>
      <w:r w:rsidR="005818FB">
        <w:rPr>
          <w:rFonts w:eastAsia="Times New Roman"/>
        </w:rPr>
        <w:t>.</w:t>
      </w:r>
    </w:p>
    <w:p w14:paraId="3A8542F8" w14:textId="18EBCE98" w:rsidR="005818FB" w:rsidRDefault="005818FB" w:rsidP="00777E4A">
      <w:pPr>
        <w:pStyle w:val="BodyText"/>
        <w:keepNext/>
        <w:spacing w:before="240" w:line="240" w:lineRule="auto"/>
        <w:rPr>
          <w:rFonts w:eastAsia="Times New Roman"/>
          <w:b/>
        </w:rPr>
      </w:pPr>
      <w:r>
        <w:rPr>
          <w:rFonts w:eastAsia="Times New Roman"/>
          <w:b/>
        </w:rPr>
        <w:t>Vulnerability 3: The Firewall Management Console Is Exposed Too Broadly</w:t>
      </w:r>
    </w:p>
    <w:p w14:paraId="510AC176" w14:textId="516E9B5F" w:rsidR="005818FB" w:rsidRDefault="00D9070E" w:rsidP="005818FB">
      <w:pPr>
        <w:pStyle w:val="BodyText"/>
        <w:keepNext/>
        <w:rPr>
          <w:rFonts w:eastAsia="Times New Roman"/>
        </w:rPr>
      </w:pPr>
      <w:r w:rsidRPr="00D9070E">
        <w:rPr>
          <w:rFonts w:eastAsia="Times New Roman"/>
        </w:rPr>
        <w:t>There appears to be no restriction on accessing the firewall; it states that any source can reach it on port 8080. If people get on it, they can guess the credentials, exploit the management services, or change access settings</w:t>
      </w:r>
      <w:r w:rsidR="005818FB">
        <w:rPr>
          <w:rFonts w:eastAsia="Times New Roman"/>
        </w:rPr>
        <w:t>.</w:t>
      </w:r>
    </w:p>
    <w:p w14:paraId="1A224CCC" w14:textId="7C9EDCEC" w:rsidR="00777E4A" w:rsidRPr="00777E4A" w:rsidRDefault="00777E4A" w:rsidP="00777E4A">
      <w:pPr>
        <w:rPr>
          <w:rFonts w:eastAsia="Times New Roman" w:cstheme="minorBidi"/>
          <w:kern w:val="0"/>
          <w:szCs w:val="22"/>
          <w14:ligatures w14:val="none"/>
        </w:rPr>
      </w:pPr>
      <w:r>
        <w:rPr>
          <w:rFonts w:eastAsia="Times New Roman"/>
        </w:rPr>
        <w:br w:type="page"/>
      </w:r>
    </w:p>
    <w:p w14:paraId="3ECDA73E" w14:textId="7C9EDCEC" w:rsidR="009E4070" w:rsidRDefault="009E4070" w:rsidP="00A45C00">
      <w:pPr>
        <w:pStyle w:val="Heading2"/>
        <w:spacing w:before="240" w:after="120" w:line="240" w:lineRule="auto"/>
        <w:rPr>
          <w:rFonts w:ascii="Times New Roman" w:hAnsi="Times New Roman" w:cs="Times New Roman"/>
          <w:b/>
          <w:bCs/>
          <w:color w:val="auto"/>
          <w:sz w:val="25"/>
          <w:szCs w:val="25"/>
        </w:rPr>
      </w:pPr>
      <w:bookmarkStart w:id="6" w:name="_Toc234711490"/>
      <w:r w:rsidRPr="009E4070">
        <w:rPr>
          <w:rFonts w:ascii="Times New Roman" w:hAnsi="Times New Roman" w:cs="Times New Roman"/>
          <w:b/>
          <w:bCs/>
          <w:color w:val="auto"/>
          <w:sz w:val="25"/>
          <w:szCs w:val="25"/>
        </w:rPr>
        <w:lastRenderedPageBreak/>
        <w:t>B2. Remediation Strategies</w:t>
      </w:r>
      <w:bookmarkEnd w:id="6"/>
    </w:p>
    <w:p w14:paraId="3CD2AC1A" w14:textId="18D9C660" w:rsidR="00777E4A" w:rsidRDefault="005818FB" w:rsidP="00777E4A">
      <w:pPr>
        <w:pStyle w:val="BodyText"/>
        <w:keepNext/>
        <w:spacing w:before="240" w:line="240" w:lineRule="auto"/>
        <w:rPr>
          <w:rFonts w:eastAsia="Times New Roman"/>
          <w:b/>
        </w:rPr>
      </w:pPr>
      <w:r>
        <w:rPr>
          <w:rFonts w:eastAsia="Times New Roman"/>
          <w:b/>
        </w:rPr>
        <w:t xml:space="preserve">Remediation for Vulnerability 1: Create </w:t>
      </w:r>
      <w:r w:rsidR="00777E4A">
        <w:rPr>
          <w:rFonts w:eastAsia="Times New Roman"/>
          <w:b/>
        </w:rPr>
        <w:t>A</w:t>
      </w:r>
      <w:r>
        <w:rPr>
          <w:rFonts w:eastAsia="Times New Roman"/>
          <w:b/>
        </w:rPr>
        <w:t xml:space="preserve"> </w:t>
      </w:r>
      <w:r w:rsidR="00777E4A">
        <w:rPr>
          <w:rFonts w:eastAsia="Times New Roman"/>
          <w:b/>
        </w:rPr>
        <w:t>S</w:t>
      </w:r>
      <w:r>
        <w:rPr>
          <w:rFonts w:eastAsia="Times New Roman"/>
          <w:b/>
        </w:rPr>
        <w:t xml:space="preserve">creened DMZ for </w:t>
      </w:r>
      <w:r w:rsidR="00777E4A">
        <w:rPr>
          <w:rFonts w:eastAsia="Times New Roman"/>
          <w:b/>
        </w:rPr>
        <w:t>P</w:t>
      </w:r>
      <w:r>
        <w:rPr>
          <w:rFonts w:eastAsia="Times New Roman"/>
          <w:b/>
        </w:rPr>
        <w:t xml:space="preserve">ublic </w:t>
      </w:r>
      <w:r w:rsidR="00777E4A">
        <w:rPr>
          <w:rFonts w:eastAsia="Times New Roman"/>
          <w:b/>
        </w:rPr>
        <w:t>S</w:t>
      </w:r>
      <w:r>
        <w:rPr>
          <w:rFonts w:eastAsia="Times New Roman"/>
          <w:b/>
        </w:rPr>
        <w:t>ervices</w:t>
      </w:r>
    </w:p>
    <w:p w14:paraId="3D71B690" w14:textId="1C3BDC5C" w:rsidR="005818FB" w:rsidRDefault="009F519F" w:rsidP="00777E4A">
      <w:pPr>
        <w:pStyle w:val="BodyText"/>
        <w:keepNext/>
      </w:pPr>
      <w:r w:rsidRPr="009F519F">
        <w:rPr>
          <w:rFonts w:eastAsia="Times New Roman"/>
        </w:rPr>
        <w:t xml:space="preserve">The first thing I would suggest for problem one is to move both the web and mail servers into a demilitarized zone (DMZ). The firewall would then permit only essential services for these servers, such as HTTPS to the web server and SMTP to the mail server. </w:t>
      </w:r>
      <w:r w:rsidR="00113EC3" w:rsidRPr="00113EC3">
        <w:rPr>
          <w:rFonts w:eastAsia="Times New Roman"/>
        </w:rPr>
        <w:t>The default policy for traffic from the DMZ to HR or Finance is to disallow it, following the principle of denying traffic unless a specific business need is identified</w:t>
      </w:r>
      <w:r w:rsidR="00A15496">
        <w:rPr>
          <w:rFonts w:eastAsia="Times New Roman"/>
        </w:rPr>
        <w:t xml:space="preserve"> </w:t>
      </w:r>
      <w:sdt>
        <w:sdtPr>
          <w:rPr>
            <w:rFonts w:eastAsia="Times New Roman"/>
          </w:rPr>
          <w:id w:val="610554248"/>
          <w:citation/>
        </w:sdtPr>
        <w:sdtEndPr/>
        <w:sdtContent>
          <w:r w:rsidR="00A15496">
            <w:rPr>
              <w:rFonts w:eastAsia="Times New Roman"/>
            </w:rPr>
            <w:fldChar w:fldCharType="begin"/>
          </w:r>
          <w:r w:rsidR="00A15496">
            <w:rPr>
              <w:rFonts w:eastAsia="Times New Roman"/>
            </w:rPr>
            <w:instrText xml:space="preserve">CITATION Sca09 \t  \l 1033 </w:instrText>
          </w:r>
          <w:r w:rsidR="00A15496">
            <w:rPr>
              <w:rFonts w:eastAsia="Times New Roman"/>
            </w:rPr>
            <w:fldChar w:fldCharType="separate"/>
          </w:r>
          <w:r w:rsidR="00A15496" w:rsidRPr="00A15496">
            <w:rPr>
              <w:rFonts w:eastAsia="Times New Roman"/>
              <w:noProof/>
            </w:rPr>
            <w:t>(Scarfone &amp; Hoffman, 2009)</w:t>
          </w:r>
          <w:r w:rsidR="00A15496">
            <w:rPr>
              <w:rFonts w:eastAsia="Times New Roman"/>
            </w:rPr>
            <w:fldChar w:fldCharType="end"/>
          </w:r>
        </w:sdtContent>
      </w:sdt>
      <w:r w:rsidR="005818FB">
        <w:rPr>
          <w:rFonts w:eastAsia="Times New Roman"/>
        </w:rPr>
        <w:t>.</w:t>
      </w:r>
    </w:p>
    <w:p w14:paraId="1537463F" w14:textId="759C22D8" w:rsidR="00777E4A" w:rsidRDefault="005818FB" w:rsidP="00777E4A">
      <w:pPr>
        <w:pStyle w:val="BodyText"/>
        <w:keepNext/>
        <w:spacing w:before="240" w:line="240" w:lineRule="auto"/>
        <w:rPr>
          <w:rFonts w:eastAsia="Times New Roman"/>
          <w:b/>
        </w:rPr>
      </w:pPr>
      <w:r>
        <w:rPr>
          <w:rFonts w:eastAsia="Times New Roman"/>
          <w:b/>
        </w:rPr>
        <w:t xml:space="preserve">Remediation for Vulnerability 2: Enforce </w:t>
      </w:r>
      <w:r w:rsidR="00777E4A">
        <w:rPr>
          <w:rFonts w:eastAsia="Times New Roman"/>
          <w:b/>
        </w:rPr>
        <w:t>I</w:t>
      </w:r>
      <w:r>
        <w:rPr>
          <w:rFonts w:eastAsia="Times New Roman"/>
          <w:b/>
        </w:rPr>
        <w:t xml:space="preserve">nterdepartmental </w:t>
      </w:r>
      <w:r w:rsidR="00777E4A">
        <w:rPr>
          <w:rFonts w:eastAsia="Times New Roman"/>
          <w:b/>
        </w:rPr>
        <w:t>S</w:t>
      </w:r>
      <w:r>
        <w:rPr>
          <w:rFonts w:eastAsia="Times New Roman"/>
          <w:b/>
        </w:rPr>
        <w:t xml:space="preserve">egmentation </w:t>
      </w:r>
    </w:p>
    <w:p w14:paraId="4E757E10" w14:textId="37956BB4" w:rsidR="005818FB" w:rsidRDefault="00EC5A8D" w:rsidP="00777E4A">
      <w:pPr>
        <w:pStyle w:val="BodyText"/>
        <w:keepNext/>
      </w:pPr>
      <w:r w:rsidRPr="00EC5A8D">
        <w:rPr>
          <w:rFonts w:eastAsia="Times New Roman"/>
        </w:rPr>
        <w:t>About problem two, the solution involves FinSecure enforcing a separation between HR and Finance networks, e.g., Virtual LANs Controlled via firewall rules and Access control lists to prevent systems in the HR department from being able to access the Finance systems over SMB (Server Message Block) unless a business purpose for this traffic has been identified, the traffic should again be disallowed</w:t>
      </w:r>
      <w:r w:rsidR="00B61DF7">
        <w:rPr>
          <w:rFonts w:eastAsia="Times New Roman"/>
        </w:rPr>
        <w:t xml:space="preserve"> </w:t>
      </w:r>
      <w:sdt>
        <w:sdtPr>
          <w:rPr>
            <w:rFonts w:eastAsia="Times New Roman"/>
          </w:rPr>
          <w:id w:val="-966121089"/>
          <w:citation/>
        </w:sdtPr>
        <w:sdtEndPr/>
        <w:sdtContent>
          <w:r w:rsidR="00B61DF7">
            <w:rPr>
              <w:rFonts w:eastAsia="Times New Roman"/>
            </w:rPr>
            <w:fldChar w:fldCharType="begin"/>
          </w:r>
          <w:r w:rsidR="00B61DF7">
            <w:rPr>
              <w:rFonts w:eastAsia="Times New Roman"/>
            </w:rPr>
            <w:instrText xml:space="preserve">CITATION Sca09 \t  \l 1033 </w:instrText>
          </w:r>
          <w:r w:rsidR="00B61DF7">
            <w:rPr>
              <w:rFonts w:eastAsia="Times New Roman"/>
            </w:rPr>
            <w:fldChar w:fldCharType="separate"/>
          </w:r>
          <w:r w:rsidR="00B61DF7" w:rsidRPr="00B61DF7">
            <w:rPr>
              <w:rFonts w:eastAsia="Times New Roman"/>
              <w:noProof/>
            </w:rPr>
            <w:t>(Scarfone &amp; Hoffman, 2009)</w:t>
          </w:r>
          <w:r w:rsidR="00B61DF7">
            <w:rPr>
              <w:rFonts w:eastAsia="Times New Roman"/>
            </w:rPr>
            <w:fldChar w:fldCharType="end"/>
          </w:r>
        </w:sdtContent>
      </w:sdt>
      <w:r w:rsidR="005818FB">
        <w:rPr>
          <w:rFonts w:eastAsia="Times New Roman"/>
        </w:rPr>
        <w:t>.</w:t>
      </w:r>
    </w:p>
    <w:p w14:paraId="63EC0411" w14:textId="2FA2C31D" w:rsidR="00777E4A" w:rsidRDefault="005818FB" w:rsidP="00777E4A">
      <w:pPr>
        <w:pStyle w:val="BodyText"/>
        <w:keepNext/>
        <w:spacing w:before="240" w:line="240" w:lineRule="auto"/>
        <w:rPr>
          <w:rFonts w:eastAsia="Times New Roman"/>
          <w:b/>
        </w:rPr>
      </w:pPr>
      <w:r>
        <w:rPr>
          <w:rFonts w:eastAsia="Times New Roman"/>
          <w:b/>
        </w:rPr>
        <w:t xml:space="preserve">Remediation for Vulnerability 3: Restrict and </w:t>
      </w:r>
      <w:r w:rsidR="00777E4A">
        <w:rPr>
          <w:rFonts w:eastAsia="Times New Roman"/>
          <w:b/>
        </w:rPr>
        <w:t>H</w:t>
      </w:r>
      <w:r>
        <w:rPr>
          <w:rFonts w:eastAsia="Times New Roman"/>
          <w:b/>
        </w:rPr>
        <w:t xml:space="preserve">arden </w:t>
      </w:r>
      <w:r w:rsidR="00777E4A">
        <w:rPr>
          <w:rFonts w:eastAsia="Times New Roman"/>
          <w:b/>
        </w:rPr>
        <w:t>F</w:t>
      </w:r>
      <w:r>
        <w:rPr>
          <w:rFonts w:eastAsia="Times New Roman"/>
          <w:b/>
        </w:rPr>
        <w:t xml:space="preserve">irewall </w:t>
      </w:r>
      <w:r w:rsidR="00777E4A">
        <w:rPr>
          <w:rFonts w:eastAsia="Times New Roman"/>
          <w:b/>
        </w:rPr>
        <w:t>A</w:t>
      </w:r>
      <w:r>
        <w:rPr>
          <w:rFonts w:eastAsia="Times New Roman"/>
          <w:b/>
        </w:rPr>
        <w:t>dministration</w:t>
      </w:r>
    </w:p>
    <w:p w14:paraId="11A53CAA" w14:textId="4FD2FBFA" w:rsidR="005818FB" w:rsidRPr="005818FB" w:rsidRDefault="000430FC" w:rsidP="00777E4A">
      <w:pPr>
        <w:pStyle w:val="BodyText"/>
        <w:keepNext/>
      </w:pPr>
      <w:r w:rsidRPr="000430FC">
        <w:rPr>
          <w:rFonts w:eastAsia="Times New Roman"/>
        </w:rPr>
        <w:t xml:space="preserve">To address problem three, FinSecure should restrict firewall console access to a management network or </w:t>
      </w:r>
      <w:r w:rsidR="008A49CB">
        <w:rPr>
          <w:rFonts w:eastAsia="Times New Roman"/>
        </w:rPr>
        <w:t>to specific IP addresses to ensure</w:t>
      </w:r>
      <w:r w:rsidRPr="000430FC">
        <w:rPr>
          <w:rFonts w:eastAsia="Times New Roman"/>
        </w:rPr>
        <w:t xml:space="preserve"> access remains under control</w:t>
      </w:r>
      <w:r w:rsidR="008A49CB">
        <w:rPr>
          <w:rFonts w:eastAsia="Times New Roman"/>
        </w:rPr>
        <w:t>. This</w:t>
      </w:r>
      <w:r w:rsidR="00EC5A8D" w:rsidRPr="00EC5A8D">
        <w:rPr>
          <w:rFonts w:eastAsia="Times New Roman"/>
        </w:rPr>
        <w:t xml:space="preserve"> measure might include VPN connections incorporating Two-Factor authentication. There is no justification for allowing port 8080 to accept connections globally; it needs to be made private</w:t>
      </w:r>
      <w:sdt>
        <w:sdtPr>
          <w:rPr>
            <w:rFonts w:eastAsia="Times New Roman"/>
          </w:rPr>
          <w:id w:val="1486124129"/>
          <w:citation/>
        </w:sdtPr>
        <w:sdtEndPr/>
        <w:sdtContent>
          <w:r w:rsidR="00D3186B">
            <w:rPr>
              <w:rFonts w:eastAsia="Times New Roman"/>
            </w:rPr>
            <w:fldChar w:fldCharType="begin"/>
          </w:r>
          <w:r w:rsidR="00D3186B">
            <w:rPr>
              <w:rFonts w:eastAsia="Times New Roman"/>
            </w:rPr>
            <w:instrText xml:space="preserve">CITATION Sca09 \t  \l 1033 </w:instrText>
          </w:r>
          <w:r w:rsidR="00D3186B">
            <w:rPr>
              <w:rFonts w:eastAsia="Times New Roman"/>
            </w:rPr>
            <w:fldChar w:fldCharType="separate"/>
          </w:r>
          <w:r w:rsidR="00D3186B">
            <w:rPr>
              <w:rFonts w:eastAsia="Times New Roman"/>
              <w:noProof/>
            </w:rPr>
            <w:t xml:space="preserve"> </w:t>
          </w:r>
          <w:r w:rsidR="00D3186B" w:rsidRPr="00D3186B">
            <w:rPr>
              <w:rFonts w:eastAsia="Times New Roman"/>
              <w:noProof/>
            </w:rPr>
            <w:t>(Scarfone &amp; Hoffman, 2009)</w:t>
          </w:r>
          <w:r w:rsidR="00D3186B">
            <w:rPr>
              <w:rFonts w:eastAsia="Times New Roman"/>
            </w:rPr>
            <w:fldChar w:fldCharType="end"/>
          </w:r>
        </w:sdtContent>
      </w:sdt>
      <w:r w:rsidR="005818FB">
        <w:rPr>
          <w:rFonts w:eastAsia="Times New Roman"/>
        </w:rPr>
        <w:t>.</w:t>
      </w:r>
    </w:p>
    <w:p w14:paraId="07262E6A" w14:textId="7401D55E" w:rsidR="009E4070" w:rsidRDefault="009E4070" w:rsidP="00A45C00">
      <w:pPr>
        <w:pStyle w:val="Heading2"/>
        <w:spacing w:before="240" w:after="120" w:line="240" w:lineRule="auto"/>
        <w:rPr>
          <w:rFonts w:ascii="Times New Roman" w:hAnsi="Times New Roman" w:cs="Times New Roman"/>
          <w:b/>
          <w:bCs/>
          <w:color w:val="auto"/>
          <w:sz w:val="25"/>
          <w:szCs w:val="25"/>
        </w:rPr>
      </w:pPr>
      <w:bookmarkStart w:id="7" w:name="_Toc234711491"/>
      <w:r w:rsidRPr="009E4070">
        <w:rPr>
          <w:rFonts w:ascii="Times New Roman" w:hAnsi="Times New Roman" w:cs="Times New Roman"/>
          <w:b/>
          <w:bCs/>
          <w:color w:val="auto"/>
          <w:sz w:val="25"/>
          <w:szCs w:val="25"/>
        </w:rPr>
        <w:t>B3. Threat Resistance and CIA Impact</w:t>
      </w:r>
      <w:bookmarkEnd w:id="7"/>
    </w:p>
    <w:p w14:paraId="071F2479" w14:textId="0AB0FA41" w:rsidR="00777E4A" w:rsidRDefault="00777E4A" w:rsidP="00777E4A">
      <w:pPr>
        <w:pStyle w:val="BodyText"/>
        <w:keepNext/>
        <w:spacing w:before="240" w:line="240" w:lineRule="auto"/>
        <w:rPr>
          <w:rFonts w:eastAsia="Times New Roman"/>
          <w:b/>
        </w:rPr>
      </w:pPr>
      <w:r>
        <w:rPr>
          <w:rFonts w:eastAsia="Times New Roman"/>
          <w:b/>
        </w:rPr>
        <w:t>CIA Impact of the DMZ</w:t>
      </w:r>
    </w:p>
    <w:p w14:paraId="6F9EBA6E" w14:textId="456CED10" w:rsidR="00777E4A" w:rsidRDefault="00F57AAC" w:rsidP="00777E4A">
      <w:pPr>
        <w:spacing w:before="0" w:after="120" w:line="360" w:lineRule="auto"/>
      </w:pPr>
      <w:r w:rsidRPr="00F57AAC">
        <w:t>Implementing a DMZ for the internet-facing servers would reduce the opportunity for potential attackers to move from a compromised Internet-facing server into the network. This enhances the security posture, thereby protecting sensitive company information from unauthorized access. The initiative boosts integrity and availability by reducing the impact of consequences</w:t>
      </w:r>
      <w:r w:rsidR="0030464C">
        <w:t xml:space="preserve">. </w:t>
      </w:r>
    </w:p>
    <w:p w14:paraId="0DD50045" w14:textId="23F655DA" w:rsidR="00EA224F" w:rsidRDefault="00EA224F" w:rsidP="00EA224F">
      <w:r>
        <w:br w:type="page"/>
      </w:r>
    </w:p>
    <w:p w14:paraId="564B4A6F" w14:textId="427D3BBF" w:rsidR="00777E4A" w:rsidRDefault="00777E4A" w:rsidP="00777E4A">
      <w:pPr>
        <w:pStyle w:val="BodyText"/>
        <w:keepNext/>
        <w:spacing w:before="240" w:line="240" w:lineRule="auto"/>
        <w:rPr>
          <w:rFonts w:eastAsia="Times New Roman"/>
          <w:b/>
        </w:rPr>
      </w:pPr>
      <w:r>
        <w:rPr>
          <w:rFonts w:eastAsia="Times New Roman"/>
          <w:b/>
        </w:rPr>
        <w:lastRenderedPageBreak/>
        <w:t xml:space="preserve">CIA Impact of Internal Segmentation </w:t>
      </w:r>
    </w:p>
    <w:p w14:paraId="376301F3" w14:textId="2044C628" w:rsidR="00777E4A" w:rsidRDefault="00095ECC" w:rsidP="00777E4A">
      <w:pPr>
        <w:pStyle w:val="BodyText"/>
        <w:keepNext/>
      </w:pPr>
      <w:r w:rsidRPr="00095ECC">
        <w:rPr>
          <w:rFonts w:eastAsia="Times New Roman"/>
        </w:rPr>
        <w:t xml:space="preserve">Separating the HR and Finance departments restricts lateral movement </w:t>
      </w:r>
      <w:r>
        <w:rPr>
          <w:rFonts w:eastAsia="Times New Roman"/>
        </w:rPr>
        <w:t>due to</w:t>
      </w:r>
      <w:r w:rsidRPr="00095ECC">
        <w:rPr>
          <w:rFonts w:eastAsia="Times New Roman"/>
        </w:rPr>
        <w:t xml:space="preserve"> threats. If another HR machine becomes infected, fewer routes to the Finance network would be available</w:t>
      </w:r>
      <w:r w:rsidR="00F64975">
        <w:rPr>
          <w:rFonts w:eastAsia="Times New Roman"/>
        </w:rPr>
        <w:t>.</w:t>
      </w:r>
      <w:r w:rsidR="00463CEE" w:rsidRPr="00463CEE">
        <w:rPr>
          <w:rFonts w:eastAsia="Times New Roman"/>
        </w:rPr>
        <w:t xml:space="preserve"> This is significant for maintaining the confidentiality of financial data and minimizing the risk of files and programs being compromised</w:t>
      </w:r>
      <w:r w:rsidR="00777E4A">
        <w:rPr>
          <w:rFonts w:eastAsia="Times New Roman"/>
        </w:rPr>
        <w:t>.</w:t>
      </w:r>
    </w:p>
    <w:p w14:paraId="6268FD7F" w14:textId="5969E7B3" w:rsidR="00777E4A" w:rsidRDefault="00777E4A" w:rsidP="00777E4A">
      <w:pPr>
        <w:pStyle w:val="BodyText"/>
        <w:keepNext/>
        <w:spacing w:before="240" w:line="240" w:lineRule="auto"/>
        <w:rPr>
          <w:rFonts w:eastAsia="Times New Roman"/>
          <w:b/>
        </w:rPr>
      </w:pPr>
      <w:r>
        <w:rPr>
          <w:rFonts w:eastAsia="Times New Roman"/>
          <w:b/>
        </w:rPr>
        <w:t xml:space="preserve">CIA Impact of Management-Plane Restrictions </w:t>
      </w:r>
    </w:p>
    <w:p w14:paraId="6C4EA802" w14:textId="2D0AFFEE" w:rsidR="00777E4A" w:rsidRDefault="0081077E" w:rsidP="00777E4A">
      <w:pPr>
        <w:pStyle w:val="BodyText"/>
        <w:keepNext/>
      </w:pPr>
      <w:r w:rsidRPr="0081077E">
        <w:rPr>
          <w:rFonts w:eastAsia="Times New Roman"/>
        </w:rPr>
        <w:t>Restricting access to the firewall console is a measure aimed at preventing unauthorized rule alterations or disabling, which would leave the organization unprotected across multiple fronts of its online activities. Tighter restrictions help maintain integrity by preventing unauthorized users from modifying the firewall configuration. They also support availability by making it harder for an attacker to disable the firewall or interrupt normal network traffic</w:t>
      </w:r>
      <w:r w:rsidR="00915980" w:rsidRPr="00915980">
        <w:rPr>
          <w:rFonts w:eastAsia="Times New Roman"/>
        </w:rPr>
        <w:t>.</w:t>
      </w:r>
    </w:p>
    <w:p w14:paraId="274ABDCB" w14:textId="795FD854" w:rsidR="005818FB" w:rsidRPr="005818FB" w:rsidRDefault="00777E4A" w:rsidP="005818FB">
      <w:r>
        <w:br w:type="page"/>
      </w:r>
    </w:p>
    <w:p w14:paraId="63B5AC8F" w14:textId="7E037BA1" w:rsidR="000211F7" w:rsidRDefault="000211F7" w:rsidP="00A45C00">
      <w:pPr>
        <w:pStyle w:val="Heading1"/>
        <w:numPr>
          <w:ilvl w:val="0"/>
          <w:numId w:val="4"/>
        </w:numPr>
        <w:spacing w:before="240" w:after="120" w:line="240" w:lineRule="auto"/>
        <w:ind w:left="360"/>
        <w:rPr>
          <w:rFonts w:ascii="Times New Roman" w:hAnsi="Times New Roman" w:cs="Times New Roman"/>
          <w:b/>
          <w:bCs/>
          <w:color w:val="auto"/>
          <w:sz w:val="28"/>
          <w:szCs w:val="28"/>
        </w:rPr>
      </w:pPr>
      <w:bookmarkStart w:id="8" w:name="_Toc234711492"/>
      <w:r w:rsidRPr="009E4070">
        <w:rPr>
          <w:rFonts w:ascii="Times New Roman" w:hAnsi="Times New Roman" w:cs="Times New Roman"/>
          <w:b/>
          <w:bCs/>
          <w:color w:val="auto"/>
          <w:sz w:val="28"/>
          <w:szCs w:val="28"/>
        </w:rPr>
        <w:lastRenderedPageBreak/>
        <w:t>Firewall and IDS Rule Review</w:t>
      </w:r>
      <w:bookmarkEnd w:id="8"/>
    </w:p>
    <w:p w14:paraId="458C9A40" w14:textId="34C4B65A" w:rsidR="005818FB" w:rsidRPr="005818FB" w:rsidRDefault="005744C4" w:rsidP="00777E4A">
      <w:pPr>
        <w:spacing w:before="0" w:after="120" w:line="360" w:lineRule="auto"/>
      </w:pPr>
      <w:r w:rsidRPr="005744C4">
        <w:t>The current rules include expansive “Any” values and do not follow a default-deny approach</w:t>
      </w:r>
      <w:r w:rsidR="002763FE">
        <w:t xml:space="preserve"> </w:t>
      </w:r>
      <w:sdt>
        <w:sdtPr>
          <w:id w:val="-282183724"/>
          <w:citation/>
        </w:sdtPr>
        <w:sdtEndPr/>
        <w:sdtContent>
          <w:r w:rsidR="002763FE">
            <w:fldChar w:fldCharType="begin"/>
          </w:r>
          <w:r w:rsidR="002763FE">
            <w:instrText xml:space="preserve">CITATION Sca09 \t  \l 1033 </w:instrText>
          </w:r>
          <w:r w:rsidR="002763FE">
            <w:fldChar w:fldCharType="separate"/>
          </w:r>
          <w:r w:rsidR="002763FE">
            <w:rPr>
              <w:noProof/>
            </w:rPr>
            <w:t>(Scarfone &amp; Hoffman, 2009)</w:t>
          </w:r>
          <w:r w:rsidR="002763FE">
            <w:fldChar w:fldCharType="end"/>
          </w:r>
        </w:sdtContent>
      </w:sdt>
      <w:r w:rsidRPr="005744C4">
        <w:t>. An alert appeared in the IDS, but none of the Firewall rules prevent C2 over the network, external reconnaissance, or lateral movement, as attempted according to the syslog. Two rule gaps are concerning</w:t>
      </w:r>
      <w:r w:rsidR="00D15BBF" w:rsidRPr="00D15BBF">
        <w:t>.</w:t>
      </w:r>
    </w:p>
    <w:p w14:paraId="52233DD2" w14:textId="3D34364D" w:rsidR="009E4070" w:rsidRDefault="009E4070" w:rsidP="00A45C00">
      <w:pPr>
        <w:pStyle w:val="Heading2"/>
        <w:spacing w:before="240" w:after="120" w:line="240" w:lineRule="auto"/>
        <w:rPr>
          <w:rFonts w:ascii="Times New Roman" w:hAnsi="Times New Roman" w:cs="Times New Roman"/>
          <w:b/>
          <w:bCs/>
          <w:color w:val="auto"/>
          <w:sz w:val="25"/>
          <w:szCs w:val="25"/>
        </w:rPr>
      </w:pPr>
      <w:bookmarkStart w:id="9" w:name="_Toc234711493"/>
      <w:r w:rsidRPr="009E4070">
        <w:rPr>
          <w:rFonts w:ascii="Times New Roman" w:hAnsi="Times New Roman" w:cs="Times New Roman"/>
          <w:b/>
          <w:bCs/>
          <w:color w:val="auto"/>
          <w:sz w:val="25"/>
          <w:szCs w:val="25"/>
        </w:rPr>
        <w:t>C1. Rule Weakness</w:t>
      </w:r>
      <w:bookmarkEnd w:id="9"/>
    </w:p>
    <w:p w14:paraId="3726D5F6" w14:textId="1ECA5FF7" w:rsidR="00777E4A" w:rsidRDefault="00777E4A" w:rsidP="005F7BF4">
      <w:pPr>
        <w:pStyle w:val="BodyText"/>
        <w:keepNext/>
        <w:spacing w:before="240" w:line="240" w:lineRule="auto"/>
        <w:rPr>
          <w:rFonts w:eastAsia="Times New Roman"/>
          <w:b/>
        </w:rPr>
      </w:pPr>
      <w:r>
        <w:rPr>
          <w:rFonts w:eastAsia="Times New Roman"/>
          <w:b/>
        </w:rPr>
        <w:t xml:space="preserve">Weakness 1: </w:t>
      </w:r>
      <w:r w:rsidR="007330BA" w:rsidRPr="007330BA">
        <w:rPr>
          <w:rFonts w:eastAsia="Times New Roman"/>
          <w:b/>
        </w:rPr>
        <w:t>Rule 102 Allows Any Source to Any Internal Network Service</w:t>
      </w:r>
    </w:p>
    <w:p w14:paraId="69D14F2D" w14:textId="4DC3F9F0" w:rsidR="00777E4A" w:rsidRDefault="000849B1" w:rsidP="005F7BF4">
      <w:pPr>
        <w:pStyle w:val="BodyText"/>
        <w:keepNext/>
      </w:pPr>
      <w:r w:rsidRPr="000849B1">
        <w:rPr>
          <w:rFonts w:eastAsia="Times New Roman"/>
        </w:rPr>
        <w:t xml:space="preserve">Any traffic from anywhere into the inside on any service or port is routed via rule number 102. This is broader than what might reasonably be accepted since it opens the door to outside interference if they should succeed in breaking through. </w:t>
      </w:r>
      <w:r w:rsidR="00FA01BC" w:rsidRPr="00FA01BC">
        <w:rPr>
          <w:rFonts w:eastAsia="Times New Roman"/>
        </w:rPr>
        <w:t xml:space="preserve">This runs counter to the general principle of not accepting traffic without a specific purpose assigned </w:t>
      </w:r>
      <w:sdt>
        <w:sdtPr>
          <w:rPr>
            <w:rFonts w:eastAsia="Times New Roman"/>
          </w:rPr>
          <w:id w:val="-1759594179"/>
          <w:citation/>
        </w:sdtPr>
        <w:sdtEndPr/>
        <w:sdtContent>
          <w:r w:rsidR="00E727D0">
            <w:rPr>
              <w:rFonts w:eastAsia="Times New Roman"/>
            </w:rPr>
            <w:fldChar w:fldCharType="begin"/>
          </w:r>
          <w:r w:rsidR="00E727D0">
            <w:rPr>
              <w:rFonts w:eastAsia="Times New Roman"/>
            </w:rPr>
            <w:instrText xml:space="preserve">CITATION Sca09 \t  \l 1033 </w:instrText>
          </w:r>
          <w:r w:rsidR="00E727D0">
            <w:rPr>
              <w:rFonts w:eastAsia="Times New Roman"/>
            </w:rPr>
            <w:fldChar w:fldCharType="separate"/>
          </w:r>
          <w:r w:rsidR="00E727D0" w:rsidRPr="00E727D0">
            <w:rPr>
              <w:rFonts w:eastAsia="Times New Roman"/>
              <w:noProof/>
            </w:rPr>
            <w:t>(Scarfone &amp; Hoffman, 2009)</w:t>
          </w:r>
          <w:r w:rsidR="00E727D0">
            <w:rPr>
              <w:rFonts w:eastAsia="Times New Roman"/>
            </w:rPr>
            <w:fldChar w:fldCharType="end"/>
          </w:r>
        </w:sdtContent>
      </w:sdt>
      <w:r w:rsidR="00777E4A">
        <w:rPr>
          <w:rFonts w:eastAsia="Times New Roman"/>
        </w:rPr>
        <w:t>.</w:t>
      </w:r>
    </w:p>
    <w:p w14:paraId="4276AAA2" w14:textId="30EE1F8E" w:rsidR="00777E4A" w:rsidRDefault="00777E4A" w:rsidP="005F7BF4">
      <w:pPr>
        <w:pStyle w:val="BodyText"/>
        <w:keepNext/>
        <w:spacing w:before="240" w:line="240" w:lineRule="auto"/>
        <w:rPr>
          <w:rFonts w:eastAsia="Times New Roman"/>
          <w:b/>
        </w:rPr>
      </w:pPr>
      <w:r>
        <w:rPr>
          <w:rFonts w:eastAsia="Times New Roman"/>
          <w:b/>
        </w:rPr>
        <w:t xml:space="preserve">Weakness 2: </w:t>
      </w:r>
      <w:r w:rsidR="00AD10C0" w:rsidRPr="00AD10C0">
        <w:rPr>
          <w:rFonts w:eastAsia="Times New Roman"/>
          <w:b/>
        </w:rPr>
        <w:t>Rule 103 Allows Unrestricted Outbound Traffic</w:t>
      </w:r>
    </w:p>
    <w:p w14:paraId="189DDDCD" w14:textId="46FC2F0D" w:rsidR="005818FB" w:rsidRPr="005818FB" w:rsidRDefault="001C3226" w:rsidP="005F7BF4">
      <w:pPr>
        <w:pStyle w:val="BodyText"/>
        <w:keepNext/>
      </w:pPr>
      <w:r w:rsidRPr="001C3226">
        <w:rPr>
          <w:rFonts w:eastAsia="Times New Roman"/>
        </w:rPr>
        <w:t xml:space="preserve">Rule 103 allows internal systems to connect to any external destination over any port or service. Malware could use this unrestricted access to contact an </w:t>
      </w:r>
      <w:r w:rsidR="003408C6">
        <w:rPr>
          <w:rFonts w:eastAsia="Times New Roman"/>
        </w:rPr>
        <w:t>external server or exfiltrate company data from</w:t>
      </w:r>
      <w:r w:rsidRPr="001C3226">
        <w:rPr>
          <w:rFonts w:eastAsia="Times New Roman"/>
        </w:rPr>
        <w:t xml:space="preserve"> the network</w:t>
      </w:r>
      <w:r w:rsidR="00F11B60">
        <w:rPr>
          <w:rFonts w:eastAsia="Times New Roman"/>
        </w:rPr>
        <w:t xml:space="preserve"> </w:t>
      </w:r>
      <w:sdt>
        <w:sdtPr>
          <w:rPr>
            <w:rFonts w:eastAsia="Times New Roman"/>
          </w:rPr>
          <w:id w:val="-698773616"/>
          <w:citation/>
        </w:sdtPr>
        <w:sdtEndPr/>
        <w:sdtContent>
          <w:r w:rsidR="00F11B60">
            <w:rPr>
              <w:rFonts w:eastAsia="Times New Roman"/>
            </w:rPr>
            <w:fldChar w:fldCharType="begin"/>
          </w:r>
          <w:r w:rsidR="00E33463">
            <w:rPr>
              <w:rFonts w:eastAsia="Times New Roman"/>
            </w:rPr>
            <w:instrText xml:space="preserve">CITATION Wes \p 2 \l 1033 </w:instrText>
          </w:r>
          <w:r w:rsidR="00F11B60">
            <w:rPr>
              <w:rFonts w:eastAsia="Times New Roman"/>
            </w:rPr>
            <w:fldChar w:fldCharType="separate"/>
          </w:r>
          <w:r w:rsidR="00E33463" w:rsidRPr="00E33463">
            <w:rPr>
              <w:rFonts w:eastAsia="Times New Roman"/>
              <w:noProof/>
            </w:rPr>
            <w:t>(Western Governors University, p. 2)</w:t>
          </w:r>
          <w:r w:rsidR="00F11B60">
            <w:rPr>
              <w:rFonts w:eastAsia="Times New Roman"/>
            </w:rPr>
            <w:fldChar w:fldCharType="end"/>
          </w:r>
        </w:sdtContent>
      </w:sdt>
      <w:r w:rsidR="00777E4A">
        <w:rPr>
          <w:rFonts w:eastAsia="Times New Roman"/>
        </w:rPr>
        <w:t>.</w:t>
      </w:r>
    </w:p>
    <w:p w14:paraId="7634731E" w14:textId="26B552DE" w:rsidR="009E4070" w:rsidRDefault="009E4070" w:rsidP="00A45C00">
      <w:pPr>
        <w:pStyle w:val="Heading2"/>
        <w:spacing w:before="240" w:after="120" w:line="240" w:lineRule="auto"/>
        <w:rPr>
          <w:rFonts w:ascii="Times New Roman" w:hAnsi="Times New Roman" w:cs="Times New Roman"/>
          <w:b/>
          <w:bCs/>
          <w:color w:val="auto"/>
          <w:sz w:val="25"/>
          <w:szCs w:val="25"/>
        </w:rPr>
      </w:pPr>
      <w:bookmarkStart w:id="10" w:name="_Toc234711494"/>
      <w:r w:rsidRPr="009E4070">
        <w:rPr>
          <w:rFonts w:ascii="Times New Roman" w:hAnsi="Times New Roman" w:cs="Times New Roman"/>
          <w:b/>
          <w:bCs/>
          <w:color w:val="auto"/>
          <w:sz w:val="25"/>
          <w:szCs w:val="25"/>
        </w:rPr>
        <w:t>C2. Threat Exposure Created by the Weakness</w:t>
      </w:r>
      <w:bookmarkEnd w:id="10"/>
    </w:p>
    <w:p w14:paraId="21788F80" w14:textId="5B63E350" w:rsidR="00777E4A" w:rsidRDefault="00777E4A" w:rsidP="005F7BF4">
      <w:pPr>
        <w:pStyle w:val="BodyText"/>
        <w:keepNext/>
        <w:spacing w:before="240" w:line="240" w:lineRule="auto"/>
        <w:rPr>
          <w:rFonts w:eastAsia="Times New Roman"/>
          <w:b/>
        </w:rPr>
      </w:pPr>
      <w:r>
        <w:rPr>
          <w:rFonts w:eastAsia="Times New Roman"/>
          <w:b/>
        </w:rPr>
        <w:t xml:space="preserve">Threat </w:t>
      </w:r>
      <w:r w:rsidR="005F7BF4">
        <w:rPr>
          <w:rFonts w:eastAsia="Times New Roman"/>
          <w:b/>
        </w:rPr>
        <w:t>E</w:t>
      </w:r>
      <w:r>
        <w:rPr>
          <w:rFonts w:eastAsia="Times New Roman"/>
          <w:b/>
        </w:rPr>
        <w:t xml:space="preserve">xposure </w:t>
      </w:r>
      <w:r w:rsidR="005F7BF4">
        <w:rPr>
          <w:rFonts w:eastAsia="Times New Roman"/>
          <w:b/>
        </w:rPr>
        <w:t>F</w:t>
      </w:r>
      <w:r>
        <w:rPr>
          <w:rFonts w:eastAsia="Times New Roman"/>
          <w:b/>
        </w:rPr>
        <w:t xml:space="preserve">rom Rule 103 </w:t>
      </w:r>
    </w:p>
    <w:p w14:paraId="43968AD5" w14:textId="1252ACE4" w:rsidR="00777E4A" w:rsidRDefault="009877BF" w:rsidP="003408C6">
      <w:pPr>
        <w:pStyle w:val="BodyText"/>
        <w:keepNext/>
        <w:rPr>
          <w:rFonts w:eastAsia="Times New Roman"/>
        </w:rPr>
      </w:pPr>
      <w:r w:rsidRPr="009877BF">
        <w:rPr>
          <w:rFonts w:eastAsia="Times New Roman"/>
        </w:rPr>
        <w:t xml:space="preserve">Rule 103 might have enabled GhostX traffic to egress the network. The IDS reported suspected command-and-control traffic from 10.1.1.45 to 45.33.122.88. Additionally, the log shows a suspicious DNS request to a known malicious domain. Since internal-to-external traffic is </w:t>
      </w:r>
      <w:r w:rsidR="0030464C">
        <w:rPr>
          <w:rFonts w:eastAsia="Times New Roman"/>
        </w:rPr>
        <w:t>unrestricted</w:t>
      </w:r>
      <w:r w:rsidRPr="009877BF">
        <w:rPr>
          <w:rFonts w:eastAsia="Times New Roman"/>
        </w:rPr>
        <w:t>, the RAT faces fewer obstacles in connecting the infected workstation to its remote server</w:t>
      </w:r>
      <w:r w:rsidR="004D0E32">
        <w:rPr>
          <w:rFonts w:eastAsia="Times New Roman"/>
        </w:rPr>
        <w:t xml:space="preserve"> </w:t>
      </w:r>
      <w:sdt>
        <w:sdtPr>
          <w:rPr>
            <w:rFonts w:eastAsia="Times New Roman"/>
          </w:rPr>
          <w:id w:val="-1723210526"/>
          <w:citation/>
        </w:sdtPr>
        <w:sdtEndPr/>
        <w:sdtContent>
          <w:r w:rsidR="004D0E32">
            <w:rPr>
              <w:rFonts w:eastAsia="Times New Roman"/>
            </w:rPr>
            <w:fldChar w:fldCharType="begin"/>
          </w:r>
          <w:r w:rsidR="004D0E32">
            <w:rPr>
              <w:rFonts w:eastAsia="Times New Roman"/>
            </w:rPr>
            <w:instrText xml:space="preserve">CITATION Wes \p 2-3 \l 1033 </w:instrText>
          </w:r>
          <w:r w:rsidR="004D0E32">
            <w:rPr>
              <w:rFonts w:eastAsia="Times New Roman"/>
            </w:rPr>
            <w:fldChar w:fldCharType="separate"/>
          </w:r>
          <w:r w:rsidR="004D0E32" w:rsidRPr="004D0E32">
            <w:rPr>
              <w:rFonts w:eastAsia="Times New Roman"/>
              <w:noProof/>
            </w:rPr>
            <w:t>(Western Governors University, pp. 2-3)</w:t>
          </w:r>
          <w:r w:rsidR="004D0E32">
            <w:rPr>
              <w:rFonts w:eastAsia="Times New Roman"/>
            </w:rPr>
            <w:fldChar w:fldCharType="end"/>
          </w:r>
        </w:sdtContent>
      </w:sdt>
      <w:r w:rsidR="00777E4A">
        <w:rPr>
          <w:rFonts w:eastAsia="Times New Roman"/>
        </w:rPr>
        <w:t>.</w:t>
      </w:r>
    </w:p>
    <w:p w14:paraId="599B21D8" w14:textId="1A67C68F" w:rsidR="00CD1B02" w:rsidRPr="00777E4A" w:rsidRDefault="00CD1B02" w:rsidP="00CD1B02">
      <w:pPr>
        <w:rPr>
          <w:rFonts w:eastAsia="Times New Roman" w:cstheme="minorBidi"/>
          <w:kern w:val="0"/>
          <w:szCs w:val="22"/>
          <w14:ligatures w14:val="none"/>
        </w:rPr>
      </w:pPr>
      <w:r>
        <w:rPr>
          <w:rFonts w:eastAsia="Times New Roman"/>
        </w:rPr>
        <w:br w:type="page"/>
      </w:r>
    </w:p>
    <w:p w14:paraId="4B7FD772" w14:textId="22145878" w:rsidR="00777E4A" w:rsidRDefault="00777E4A" w:rsidP="005F7BF4">
      <w:pPr>
        <w:pStyle w:val="BodyText"/>
        <w:keepNext/>
        <w:spacing w:before="240" w:line="240" w:lineRule="auto"/>
        <w:rPr>
          <w:rFonts w:eastAsia="Times New Roman"/>
          <w:b/>
        </w:rPr>
      </w:pPr>
      <w:r>
        <w:rPr>
          <w:rFonts w:eastAsia="Times New Roman"/>
          <w:b/>
        </w:rPr>
        <w:lastRenderedPageBreak/>
        <w:t xml:space="preserve">Threat </w:t>
      </w:r>
      <w:r w:rsidR="005F7BF4">
        <w:rPr>
          <w:rFonts w:eastAsia="Times New Roman"/>
          <w:b/>
        </w:rPr>
        <w:t>E</w:t>
      </w:r>
      <w:r>
        <w:rPr>
          <w:rFonts w:eastAsia="Times New Roman"/>
          <w:b/>
        </w:rPr>
        <w:t xml:space="preserve">xposure </w:t>
      </w:r>
      <w:r w:rsidR="005F7BF4">
        <w:rPr>
          <w:rFonts w:eastAsia="Times New Roman"/>
          <w:b/>
        </w:rPr>
        <w:t>F</w:t>
      </w:r>
      <w:r>
        <w:rPr>
          <w:rFonts w:eastAsia="Times New Roman"/>
          <w:b/>
        </w:rPr>
        <w:t xml:space="preserve">rom Rule 102 </w:t>
      </w:r>
    </w:p>
    <w:p w14:paraId="330AF0E0" w14:textId="28A075AC" w:rsidR="005818FB" w:rsidRPr="005818FB" w:rsidRDefault="00CD1B02" w:rsidP="005F7BF4">
      <w:pPr>
        <w:pStyle w:val="BodyText"/>
        <w:keepNext/>
      </w:pPr>
      <w:r w:rsidRPr="00CD1B02">
        <w:rPr>
          <w:rFonts w:eastAsia="Times New Roman"/>
        </w:rPr>
        <w:t xml:space="preserve">Rule 102 exposes the network to a high level of risk, as </w:t>
      </w:r>
      <w:r>
        <w:rPr>
          <w:rFonts w:eastAsia="Times New Roman"/>
        </w:rPr>
        <w:t>evidenced by the port scan</w:t>
      </w:r>
      <w:r w:rsidRPr="00CD1B02">
        <w:rPr>
          <w:rFonts w:eastAsia="Times New Roman"/>
        </w:rPr>
        <w:t xml:space="preserve"> and SMB alerts. The IDS shows an external host scanning 10.1.2.4 and an SMB lateral-movement attempt from 10.1.1.45 in the HR subnet to a Finance system at 10.1.2.10. Traffic to internal networks is also broadly unrestricted, giving threat actors more open ports and systems to abuse</w:t>
      </w:r>
      <w:sdt>
        <w:sdtPr>
          <w:rPr>
            <w:rFonts w:eastAsia="Times New Roman"/>
          </w:rPr>
          <w:id w:val="-500047035"/>
          <w:citation/>
        </w:sdtPr>
        <w:sdtEndPr/>
        <w:sdtContent>
          <w:r w:rsidR="004024F8">
            <w:rPr>
              <w:rFonts w:eastAsia="Times New Roman"/>
            </w:rPr>
            <w:fldChar w:fldCharType="begin"/>
          </w:r>
          <w:r w:rsidR="004024F8">
            <w:rPr>
              <w:rFonts w:eastAsia="Times New Roman"/>
            </w:rPr>
            <w:instrText xml:space="preserve">CITATION Wes \p 3 \l 1033 </w:instrText>
          </w:r>
          <w:r w:rsidR="004024F8">
            <w:rPr>
              <w:rFonts w:eastAsia="Times New Roman"/>
            </w:rPr>
            <w:fldChar w:fldCharType="separate"/>
          </w:r>
          <w:r w:rsidR="004024F8">
            <w:rPr>
              <w:rFonts w:eastAsia="Times New Roman"/>
              <w:noProof/>
            </w:rPr>
            <w:t xml:space="preserve"> </w:t>
          </w:r>
          <w:r w:rsidR="004024F8" w:rsidRPr="004024F8">
            <w:rPr>
              <w:rFonts w:eastAsia="Times New Roman"/>
              <w:noProof/>
            </w:rPr>
            <w:t>(Western Governors University, p. 3)</w:t>
          </w:r>
          <w:r w:rsidR="004024F8">
            <w:rPr>
              <w:rFonts w:eastAsia="Times New Roman"/>
            </w:rPr>
            <w:fldChar w:fldCharType="end"/>
          </w:r>
        </w:sdtContent>
      </w:sdt>
      <w:r w:rsidR="00777E4A">
        <w:rPr>
          <w:rFonts w:eastAsia="Times New Roman"/>
        </w:rPr>
        <w:t>.</w:t>
      </w:r>
    </w:p>
    <w:p w14:paraId="3F48029B" w14:textId="73E742E2" w:rsidR="009E4070" w:rsidRDefault="009E4070" w:rsidP="00A45C00">
      <w:pPr>
        <w:pStyle w:val="Heading2"/>
        <w:spacing w:before="240" w:after="120" w:line="240" w:lineRule="auto"/>
        <w:rPr>
          <w:rFonts w:ascii="Times New Roman" w:hAnsi="Times New Roman" w:cs="Times New Roman"/>
          <w:b/>
          <w:bCs/>
          <w:color w:val="auto"/>
          <w:sz w:val="25"/>
          <w:szCs w:val="25"/>
        </w:rPr>
      </w:pPr>
      <w:bookmarkStart w:id="11" w:name="_Toc234711495"/>
      <w:r w:rsidRPr="009E4070">
        <w:rPr>
          <w:rFonts w:ascii="Times New Roman" w:hAnsi="Times New Roman" w:cs="Times New Roman"/>
          <w:b/>
          <w:bCs/>
          <w:color w:val="auto"/>
          <w:sz w:val="25"/>
          <w:szCs w:val="25"/>
        </w:rPr>
        <w:t>C3. Proposed Firewall and IDS Rules</w:t>
      </w:r>
      <w:bookmarkEnd w:id="11"/>
    </w:p>
    <w:p w14:paraId="30E68C13" w14:textId="77777777" w:rsidR="005F7BF4" w:rsidRDefault="005F7BF4" w:rsidP="005F7BF4">
      <w:pPr>
        <w:spacing w:before="0" w:after="120" w:line="360" w:lineRule="auto"/>
        <w:rPr>
          <w:rFonts w:eastAsia="Times New Roman"/>
        </w:rPr>
      </w:pPr>
      <w:r>
        <w:rPr>
          <w:rFonts w:eastAsia="Times New Roman"/>
        </w:rPr>
        <w:t>The following rules should replace the two broad allow rules. Specific business-required allow rules should be placed above these controls, and the deny rules should be logged and forwarded to the SIEM or IDS for alerting.</w:t>
      </w:r>
    </w:p>
    <w:tbl>
      <w:tblPr>
        <w:tblStyle w:val="TableGridLight"/>
        <w:tblW w:w="0" w:type="auto"/>
        <w:tblLook w:val="04A0" w:firstRow="1" w:lastRow="0" w:firstColumn="1" w:lastColumn="0" w:noHBand="0" w:noVBand="1"/>
      </w:tblPr>
      <w:tblGrid>
        <w:gridCol w:w="1119"/>
        <w:gridCol w:w="1512"/>
        <w:gridCol w:w="1656"/>
        <w:gridCol w:w="1584"/>
        <w:gridCol w:w="1152"/>
        <w:gridCol w:w="2088"/>
      </w:tblGrid>
      <w:tr w:rsidR="005F7BF4" w14:paraId="26125BCE" w14:textId="77777777" w:rsidTr="00281D09">
        <w:tc>
          <w:tcPr>
            <w:tcW w:w="1119" w:type="dxa"/>
            <w:shd w:val="clear" w:color="auto" w:fill="DAE9F7" w:themeFill="text2" w:themeFillTint="1A"/>
          </w:tcPr>
          <w:p w14:paraId="61BA9246" w14:textId="77777777" w:rsidR="005F7BF4" w:rsidRDefault="005F7BF4" w:rsidP="00BA7404">
            <w:pPr>
              <w:jc w:val="center"/>
            </w:pPr>
            <w:r>
              <w:rPr>
                <w:rFonts w:eastAsia="Times New Roman"/>
                <w:b/>
                <w:sz w:val="20"/>
              </w:rPr>
              <w:t>Rule</w:t>
            </w:r>
          </w:p>
        </w:tc>
        <w:tc>
          <w:tcPr>
            <w:tcW w:w="1512" w:type="dxa"/>
            <w:shd w:val="clear" w:color="auto" w:fill="DAE9F7" w:themeFill="text2" w:themeFillTint="1A"/>
          </w:tcPr>
          <w:p w14:paraId="4D8A72F4" w14:textId="77777777" w:rsidR="005F7BF4" w:rsidRDefault="005F7BF4" w:rsidP="00BA7404">
            <w:pPr>
              <w:jc w:val="center"/>
            </w:pPr>
            <w:r>
              <w:rPr>
                <w:rFonts w:eastAsia="Times New Roman"/>
                <w:b/>
                <w:sz w:val="20"/>
              </w:rPr>
              <w:t>Source</w:t>
            </w:r>
          </w:p>
        </w:tc>
        <w:tc>
          <w:tcPr>
            <w:tcW w:w="1656" w:type="dxa"/>
            <w:shd w:val="clear" w:color="auto" w:fill="DAE9F7" w:themeFill="text2" w:themeFillTint="1A"/>
          </w:tcPr>
          <w:p w14:paraId="5368C737" w14:textId="77777777" w:rsidR="005F7BF4" w:rsidRDefault="005F7BF4" w:rsidP="00BA7404">
            <w:pPr>
              <w:jc w:val="center"/>
            </w:pPr>
            <w:r>
              <w:rPr>
                <w:rFonts w:eastAsia="Times New Roman"/>
                <w:b/>
                <w:sz w:val="20"/>
              </w:rPr>
              <w:t>Destination</w:t>
            </w:r>
          </w:p>
        </w:tc>
        <w:tc>
          <w:tcPr>
            <w:tcW w:w="1584" w:type="dxa"/>
            <w:shd w:val="clear" w:color="auto" w:fill="DAE9F7" w:themeFill="text2" w:themeFillTint="1A"/>
          </w:tcPr>
          <w:p w14:paraId="75AF7B3E" w14:textId="77777777" w:rsidR="005F7BF4" w:rsidRDefault="005F7BF4" w:rsidP="00BA7404">
            <w:pPr>
              <w:jc w:val="center"/>
            </w:pPr>
            <w:r>
              <w:rPr>
                <w:rFonts w:eastAsia="Times New Roman"/>
                <w:b/>
                <w:sz w:val="20"/>
              </w:rPr>
              <w:t>Service</w:t>
            </w:r>
          </w:p>
        </w:tc>
        <w:tc>
          <w:tcPr>
            <w:tcW w:w="1152" w:type="dxa"/>
            <w:shd w:val="clear" w:color="auto" w:fill="DAE9F7" w:themeFill="text2" w:themeFillTint="1A"/>
          </w:tcPr>
          <w:p w14:paraId="6817F9CC" w14:textId="77777777" w:rsidR="005F7BF4" w:rsidRDefault="005F7BF4" w:rsidP="00BA7404">
            <w:pPr>
              <w:jc w:val="center"/>
            </w:pPr>
            <w:r>
              <w:rPr>
                <w:rFonts w:eastAsia="Times New Roman"/>
                <w:b/>
                <w:sz w:val="20"/>
              </w:rPr>
              <w:t>Action</w:t>
            </w:r>
          </w:p>
        </w:tc>
        <w:tc>
          <w:tcPr>
            <w:tcW w:w="2088" w:type="dxa"/>
            <w:shd w:val="clear" w:color="auto" w:fill="DAE9F7" w:themeFill="text2" w:themeFillTint="1A"/>
          </w:tcPr>
          <w:p w14:paraId="7AD7061C" w14:textId="77777777" w:rsidR="005F7BF4" w:rsidRDefault="005F7BF4" w:rsidP="00BA7404">
            <w:pPr>
              <w:jc w:val="center"/>
            </w:pPr>
            <w:r>
              <w:rPr>
                <w:rFonts w:eastAsia="Times New Roman"/>
                <w:b/>
                <w:sz w:val="20"/>
              </w:rPr>
              <w:t>Purpose</w:t>
            </w:r>
          </w:p>
        </w:tc>
      </w:tr>
      <w:tr w:rsidR="005F7BF4" w14:paraId="489D0148" w14:textId="77777777" w:rsidTr="00281D09">
        <w:tc>
          <w:tcPr>
            <w:tcW w:w="1119" w:type="dxa"/>
          </w:tcPr>
          <w:p w14:paraId="2958BC96" w14:textId="77777777" w:rsidR="005F7BF4" w:rsidRDefault="005F7BF4" w:rsidP="00BA7404">
            <w:r>
              <w:rPr>
                <w:rFonts w:eastAsia="Times New Roman"/>
                <w:sz w:val="19"/>
              </w:rPr>
              <w:t>Updated 103</w:t>
            </w:r>
          </w:p>
        </w:tc>
        <w:tc>
          <w:tcPr>
            <w:tcW w:w="1512" w:type="dxa"/>
          </w:tcPr>
          <w:p w14:paraId="4C479CA9" w14:textId="77777777" w:rsidR="005F7BF4" w:rsidRDefault="005F7BF4" w:rsidP="00BA7404">
            <w:r>
              <w:rPr>
                <w:rFonts w:eastAsia="Times New Roman"/>
                <w:sz w:val="19"/>
              </w:rPr>
              <w:t>Internal networks</w:t>
            </w:r>
          </w:p>
        </w:tc>
        <w:tc>
          <w:tcPr>
            <w:tcW w:w="1656" w:type="dxa"/>
          </w:tcPr>
          <w:p w14:paraId="7251D4E3" w14:textId="77777777" w:rsidR="005F7BF4" w:rsidRDefault="005F7BF4" w:rsidP="00BA7404">
            <w:r>
              <w:rPr>
                <w:rFonts w:eastAsia="Times New Roman"/>
                <w:sz w:val="19"/>
              </w:rPr>
              <w:t>External networks</w:t>
            </w:r>
          </w:p>
        </w:tc>
        <w:tc>
          <w:tcPr>
            <w:tcW w:w="1584" w:type="dxa"/>
          </w:tcPr>
          <w:p w14:paraId="4860EBF8" w14:textId="77777777" w:rsidR="005F7BF4" w:rsidRDefault="005F7BF4" w:rsidP="00BA7404">
            <w:r>
              <w:rPr>
                <w:rFonts w:eastAsia="Times New Roman"/>
                <w:sz w:val="19"/>
              </w:rPr>
              <w:t>Any not specifically approved</w:t>
            </w:r>
          </w:p>
        </w:tc>
        <w:tc>
          <w:tcPr>
            <w:tcW w:w="1152" w:type="dxa"/>
          </w:tcPr>
          <w:p w14:paraId="49496B53" w14:textId="77777777" w:rsidR="005F7BF4" w:rsidRDefault="005F7BF4" w:rsidP="00BA7404">
            <w:r>
              <w:rPr>
                <w:rFonts w:eastAsia="Times New Roman"/>
                <w:sz w:val="19"/>
              </w:rPr>
              <w:t>Deny, log, and alert</w:t>
            </w:r>
          </w:p>
        </w:tc>
        <w:tc>
          <w:tcPr>
            <w:tcW w:w="2088" w:type="dxa"/>
          </w:tcPr>
          <w:p w14:paraId="20A72E04" w14:textId="77777777" w:rsidR="005F7BF4" w:rsidRDefault="005F7BF4" w:rsidP="00BA7404">
            <w:r>
              <w:rPr>
                <w:rFonts w:eastAsia="Times New Roman"/>
                <w:sz w:val="19"/>
              </w:rPr>
              <w:t>Stop unapproved egress, C2, exfiltration, and direct external DNS.</w:t>
            </w:r>
          </w:p>
        </w:tc>
      </w:tr>
      <w:tr w:rsidR="005F7BF4" w14:paraId="6460009E" w14:textId="77777777" w:rsidTr="00281D09">
        <w:tc>
          <w:tcPr>
            <w:tcW w:w="1119" w:type="dxa"/>
          </w:tcPr>
          <w:p w14:paraId="4A46F8FA" w14:textId="77777777" w:rsidR="005F7BF4" w:rsidRDefault="005F7BF4" w:rsidP="00BA7404">
            <w:r>
              <w:rPr>
                <w:rFonts w:eastAsia="Times New Roman"/>
                <w:sz w:val="19"/>
              </w:rPr>
              <w:t>Updated 102</w:t>
            </w:r>
          </w:p>
        </w:tc>
        <w:tc>
          <w:tcPr>
            <w:tcW w:w="1512" w:type="dxa"/>
          </w:tcPr>
          <w:p w14:paraId="1FCA7626" w14:textId="77777777" w:rsidR="005F7BF4" w:rsidRDefault="005F7BF4" w:rsidP="00BA7404">
            <w:r>
              <w:rPr>
                <w:rFonts w:eastAsia="Times New Roman"/>
                <w:sz w:val="19"/>
              </w:rPr>
              <w:t>Any untrusted source or user VLAN</w:t>
            </w:r>
          </w:p>
        </w:tc>
        <w:tc>
          <w:tcPr>
            <w:tcW w:w="1656" w:type="dxa"/>
          </w:tcPr>
          <w:p w14:paraId="352355CA" w14:textId="77777777" w:rsidR="005F7BF4" w:rsidRDefault="005F7BF4" w:rsidP="00BA7404">
            <w:r>
              <w:rPr>
                <w:rFonts w:eastAsia="Times New Roman"/>
                <w:sz w:val="19"/>
              </w:rPr>
              <w:t>Internal networks</w:t>
            </w:r>
          </w:p>
        </w:tc>
        <w:tc>
          <w:tcPr>
            <w:tcW w:w="1584" w:type="dxa"/>
          </w:tcPr>
          <w:p w14:paraId="279EF2E3" w14:textId="77777777" w:rsidR="005F7BF4" w:rsidRDefault="005F7BF4" w:rsidP="00BA7404">
            <w:r>
              <w:rPr>
                <w:rFonts w:eastAsia="Times New Roman"/>
                <w:sz w:val="19"/>
              </w:rPr>
              <w:t>Any not specifically approved</w:t>
            </w:r>
          </w:p>
        </w:tc>
        <w:tc>
          <w:tcPr>
            <w:tcW w:w="1152" w:type="dxa"/>
          </w:tcPr>
          <w:p w14:paraId="17D8B367" w14:textId="77777777" w:rsidR="005F7BF4" w:rsidRDefault="005F7BF4" w:rsidP="00BA7404">
            <w:r>
              <w:rPr>
                <w:rFonts w:eastAsia="Times New Roman"/>
                <w:sz w:val="19"/>
              </w:rPr>
              <w:t>Deny, log, and alert</w:t>
            </w:r>
          </w:p>
        </w:tc>
        <w:tc>
          <w:tcPr>
            <w:tcW w:w="2088" w:type="dxa"/>
          </w:tcPr>
          <w:p w14:paraId="6F672E16" w14:textId="77777777" w:rsidR="005F7BF4" w:rsidRDefault="005F7BF4" w:rsidP="00BA7404">
            <w:r>
              <w:rPr>
                <w:rFonts w:eastAsia="Times New Roman"/>
                <w:sz w:val="19"/>
              </w:rPr>
              <w:t>Block scans and unapproved east-west access, including SMB between HR and Finance.</w:t>
            </w:r>
          </w:p>
        </w:tc>
      </w:tr>
    </w:tbl>
    <w:p w14:paraId="08AB226E" w14:textId="776DC696" w:rsidR="005F7BF4" w:rsidRDefault="005F7BF4" w:rsidP="005F7BF4">
      <w:pPr>
        <w:pStyle w:val="BodyText"/>
        <w:keepNext/>
        <w:spacing w:before="240" w:line="240" w:lineRule="auto"/>
        <w:rPr>
          <w:rFonts w:eastAsia="Times New Roman"/>
          <w:b/>
        </w:rPr>
      </w:pPr>
      <w:r>
        <w:rPr>
          <w:rFonts w:eastAsia="Times New Roman"/>
          <w:b/>
        </w:rPr>
        <w:t xml:space="preserve">Proposed Rule 1: </w:t>
      </w:r>
      <w:r w:rsidR="005F7008" w:rsidRPr="005F7008">
        <w:rPr>
          <w:rFonts w:eastAsia="Times New Roman"/>
          <w:b/>
        </w:rPr>
        <w:t>Replace Rule 102 With Least-Privilege Internal and Inbound Access</w:t>
      </w:r>
    </w:p>
    <w:p w14:paraId="0DC5A33F" w14:textId="3EA35CE2" w:rsidR="007A1609" w:rsidRDefault="007A1609" w:rsidP="007A1609">
      <w:pPr>
        <w:spacing w:before="0" w:after="120" w:line="360" w:lineRule="auto"/>
      </w:pPr>
      <w:r>
        <w:t xml:space="preserve">It is recommended to replace Rule 102 with a strict deny-traffic rule that </w:t>
      </w:r>
      <w:r w:rsidR="00502A2E">
        <w:t>applies to traffic originating from untrusted networks and moving</w:t>
      </w:r>
      <w:r>
        <w:t xml:space="preserve"> towards the internal HR &amp; Finance networks.</w:t>
      </w:r>
    </w:p>
    <w:p w14:paraId="72145331" w14:textId="4C1CA33D" w:rsidR="007A1609" w:rsidRDefault="007A1609" w:rsidP="007A1609">
      <w:pPr>
        <w:spacing w:before="0" w:after="120" w:line="360" w:lineRule="auto"/>
      </w:pPr>
      <w:r>
        <w:t xml:space="preserve">Only traffic to approved web services on DMZ systems, such as a web server, must be passed from the Internet. Additionally, inter-subnet requests between HR and </w:t>
      </w:r>
      <w:r w:rsidR="00502A2E">
        <w:t>other networks that move traffic</w:t>
      </w:r>
      <w:r>
        <w:t xml:space="preserve"> between these subnets should also be denied unless for a special reason (business need)</w:t>
      </w:r>
      <w:sdt>
        <w:sdtPr>
          <w:id w:val="300272252"/>
          <w:citation/>
        </w:sdtPr>
        <w:sdtEndPr/>
        <w:sdtContent>
          <w:r w:rsidR="00C12516">
            <w:fldChar w:fldCharType="begin"/>
          </w:r>
          <w:r w:rsidR="00C12516">
            <w:instrText xml:space="preserve">CITATION Sca09 \t  \l 1033 </w:instrText>
          </w:r>
          <w:r w:rsidR="00C12516">
            <w:fldChar w:fldCharType="separate"/>
          </w:r>
          <w:r w:rsidR="00C12516">
            <w:rPr>
              <w:noProof/>
            </w:rPr>
            <w:t xml:space="preserve"> (Scarfone &amp; Hoffman, 2009)</w:t>
          </w:r>
          <w:r w:rsidR="00C12516">
            <w:fldChar w:fldCharType="end"/>
          </w:r>
        </w:sdtContent>
      </w:sdt>
      <w:r>
        <w:t>.</w:t>
      </w:r>
    </w:p>
    <w:p w14:paraId="10C87E8F" w14:textId="77777777" w:rsidR="007A1609" w:rsidRDefault="007A1609" w:rsidP="007A1609">
      <w:pPr>
        <w:spacing w:before="0" w:after="120" w:line="360" w:lineRule="auto"/>
      </w:pPr>
      <w:r>
        <w:t>Threats: External host scans to internal network systems and attempts of lateral SMB traffic between networks.</w:t>
      </w:r>
    </w:p>
    <w:p w14:paraId="3E4449A5" w14:textId="6A464292" w:rsidR="005F7BF4" w:rsidRDefault="007A1609" w:rsidP="007A1609">
      <w:pPr>
        <w:spacing w:before="0" w:after="120" w:line="360" w:lineRule="auto"/>
      </w:pPr>
      <w:r>
        <w:t>The result helps detect and mitigate external scans, blocks direct access attempts and scans from untrusted external sources, and limits access to employees’ systems. Logs also simplify the highlighting of further connection attempts and suspicious or anomalous connections from external and “untrusted” IP addresses</w:t>
      </w:r>
      <w:r w:rsidR="00140BEC" w:rsidRPr="00140BEC">
        <w:t>.</w:t>
      </w:r>
    </w:p>
    <w:p w14:paraId="7E9040C6" w14:textId="35783790" w:rsidR="005F7BF4" w:rsidRPr="00502A2E" w:rsidRDefault="005F7BF4" w:rsidP="00502A2E">
      <w:r>
        <w:br w:type="page"/>
      </w:r>
      <w:r>
        <w:rPr>
          <w:rFonts w:eastAsia="Times New Roman"/>
          <w:b/>
        </w:rPr>
        <w:lastRenderedPageBreak/>
        <w:t xml:space="preserve">Proposed Rule 2: </w:t>
      </w:r>
      <w:r w:rsidR="005F7008" w:rsidRPr="005F7008">
        <w:rPr>
          <w:rFonts w:eastAsia="Times New Roman"/>
          <w:b/>
        </w:rPr>
        <w:t>Replace Rule 103 With Controlled Egress and Default Deny</w:t>
      </w:r>
    </w:p>
    <w:p w14:paraId="147BFE17" w14:textId="7A4F2C77" w:rsidR="005A7BB1" w:rsidRPr="005A7BB1" w:rsidRDefault="005A7BB1" w:rsidP="005A7BB1">
      <w:pPr>
        <w:spacing w:before="0" w:after="120" w:line="360" w:lineRule="auto"/>
        <w:rPr>
          <w:rFonts w:eastAsia="Times New Roman" w:cstheme="minorBidi"/>
          <w:kern w:val="0"/>
          <w:szCs w:val="22"/>
          <w14:ligatures w14:val="none"/>
        </w:rPr>
      </w:pPr>
      <w:r w:rsidRPr="005A7BB1">
        <w:rPr>
          <w:rFonts w:eastAsia="Times New Roman" w:cstheme="minorBidi"/>
          <w:kern w:val="0"/>
          <w:szCs w:val="22"/>
          <w14:ligatures w14:val="none"/>
        </w:rPr>
        <w:t xml:space="preserve">Rule 103 should be replaced by tailored egress access. Users of the internal network could be granted egress to approved web services, whereas DNS traffic would be restricted to the internal network’s corporate DNS server. </w:t>
      </w:r>
      <w:r w:rsidR="00E11A8F" w:rsidRPr="00E11A8F">
        <w:rPr>
          <w:rFonts w:eastAsia="Times New Roman" w:cstheme="minorBidi"/>
          <w:kern w:val="0"/>
          <w:szCs w:val="22"/>
          <w14:ligatures w14:val="none"/>
        </w:rPr>
        <w:t>All other outbound traffic should be denied unless it is specifically approved</w:t>
      </w:r>
      <w:r w:rsidR="00034570">
        <w:rPr>
          <w:rFonts w:eastAsia="Times New Roman" w:cstheme="minorBidi"/>
          <w:kern w:val="0"/>
          <w:szCs w:val="22"/>
          <w14:ligatures w14:val="none"/>
        </w:rPr>
        <w:t xml:space="preserve"> </w:t>
      </w:r>
      <w:sdt>
        <w:sdtPr>
          <w:rPr>
            <w:rFonts w:eastAsia="Times New Roman" w:cstheme="minorBidi"/>
            <w:kern w:val="0"/>
            <w:szCs w:val="22"/>
            <w14:ligatures w14:val="none"/>
          </w:rPr>
          <w:id w:val="-450863680"/>
          <w:citation/>
        </w:sdtPr>
        <w:sdtEndPr/>
        <w:sdtContent>
          <w:r w:rsidR="00034570">
            <w:rPr>
              <w:rFonts w:eastAsia="Times New Roman" w:cstheme="minorBidi"/>
              <w:kern w:val="0"/>
              <w:szCs w:val="22"/>
              <w14:ligatures w14:val="none"/>
            </w:rPr>
            <w:fldChar w:fldCharType="begin"/>
          </w:r>
          <w:r w:rsidR="00034570">
            <w:rPr>
              <w:rFonts w:eastAsia="Times New Roman" w:cstheme="minorBidi"/>
              <w:kern w:val="0"/>
              <w:szCs w:val="22"/>
              <w14:ligatures w14:val="none"/>
            </w:rPr>
            <w:instrText xml:space="preserve">CITATION Sca09 \t  \l 1033 </w:instrText>
          </w:r>
          <w:r w:rsidR="00034570">
            <w:rPr>
              <w:rFonts w:eastAsia="Times New Roman" w:cstheme="minorBidi"/>
              <w:kern w:val="0"/>
              <w:szCs w:val="22"/>
              <w14:ligatures w14:val="none"/>
            </w:rPr>
            <w:fldChar w:fldCharType="separate"/>
          </w:r>
          <w:r w:rsidR="00034570" w:rsidRPr="00034570">
            <w:rPr>
              <w:rFonts w:eastAsia="Times New Roman" w:cstheme="minorBidi"/>
              <w:noProof/>
              <w:kern w:val="0"/>
              <w:szCs w:val="22"/>
              <w14:ligatures w14:val="none"/>
            </w:rPr>
            <w:t>(Scarfone &amp; Hoffman, 2009)</w:t>
          </w:r>
          <w:r w:rsidR="00034570">
            <w:rPr>
              <w:rFonts w:eastAsia="Times New Roman" w:cstheme="minorBidi"/>
              <w:kern w:val="0"/>
              <w:szCs w:val="22"/>
              <w14:ligatures w14:val="none"/>
            </w:rPr>
            <w:fldChar w:fldCharType="end"/>
          </w:r>
        </w:sdtContent>
      </w:sdt>
      <w:r w:rsidRPr="005A7BB1">
        <w:rPr>
          <w:rFonts w:eastAsia="Times New Roman" w:cstheme="minorBidi"/>
          <w:kern w:val="0"/>
          <w:szCs w:val="22"/>
          <w14:ligatures w14:val="none"/>
        </w:rPr>
        <w:t>.</w:t>
      </w:r>
    </w:p>
    <w:p w14:paraId="73CF6F20" w14:textId="05A5D161" w:rsidR="005A7BB1" w:rsidRPr="005A7BB1" w:rsidRDefault="005A7BB1" w:rsidP="005A7BB1">
      <w:pPr>
        <w:spacing w:before="0" w:after="120" w:line="360" w:lineRule="auto"/>
        <w:rPr>
          <w:rFonts w:eastAsia="Times New Roman" w:cstheme="minorBidi"/>
          <w:kern w:val="0"/>
          <w:szCs w:val="22"/>
          <w14:ligatures w14:val="none"/>
        </w:rPr>
      </w:pPr>
      <w:r w:rsidRPr="005A7BB1">
        <w:rPr>
          <w:rFonts w:eastAsia="Times New Roman" w:cstheme="minorBidi"/>
          <w:kern w:val="0"/>
          <w:szCs w:val="22"/>
          <w14:ligatures w14:val="none"/>
        </w:rPr>
        <w:t>An IDS rule should also be implemented to flag or block traffic to malicious IP addresses and domains, including the one linked to the GhostX alert</w:t>
      </w:r>
      <w:sdt>
        <w:sdtPr>
          <w:rPr>
            <w:rFonts w:eastAsia="Times New Roman" w:cstheme="minorBidi"/>
            <w:kern w:val="0"/>
            <w:szCs w:val="22"/>
            <w14:ligatures w14:val="none"/>
          </w:rPr>
          <w:id w:val="-98112729"/>
          <w:citation/>
        </w:sdtPr>
        <w:sdtEndPr/>
        <w:sdtContent>
          <w:r w:rsidR="00F34995">
            <w:rPr>
              <w:rFonts w:eastAsia="Times New Roman" w:cstheme="minorBidi"/>
              <w:kern w:val="0"/>
              <w:szCs w:val="22"/>
              <w14:ligatures w14:val="none"/>
            </w:rPr>
            <w:fldChar w:fldCharType="begin"/>
          </w:r>
          <w:r w:rsidR="006E3E90">
            <w:rPr>
              <w:rFonts w:eastAsia="Times New Roman" w:cstheme="minorBidi"/>
              <w:kern w:val="0"/>
              <w:szCs w:val="22"/>
              <w14:ligatures w14:val="none"/>
            </w:rPr>
            <w:instrText xml:space="preserve">CITATION Sca07 \t  \l 1033 </w:instrText>
          </w:r>
          <w:r w:rsidR="00F34995">
            <w:rPr>
              <w:rFonts w:eastAsia="Times New Roman" w:cstheme="minorBidi"/>
              <w:kern w:val="0"/>
              <w:szCs w:val="22"/>
              <w14:ligatures w14:val="none"/>
            </w:rPr>
            <w:fldChar w:fldCharType="separate"/>
          </w:r>
          <w:r w:rsidR="006E3E90">
            <w:rPr>
              <w:rFonts w:eastAsia="Times New Roman" w:cstheme="minorBidi"/>
              <w:noProof/>
              <w:kern w:val="0"/>
              <w:szCs w:val="22"/>
              <w14:ligatures w14:val="none"/>
            </w:rPr>
            <w:t xml:space="preserve"> </w:t>
          </w:r>
          <w:r w:rsidR="006E3E90" w:rsidRPr="006E3E90">
            <w:rPr>
              <w:rFonts w:eastAsia="Times New Roman" w:cstheme="minorBidi"/>
              <w:noProof/>
              <w:kern w:val="0"/>
              <w:szCs w:val="22"/>
              <w14:ligatures w14:val="none"/>
            </w:rPr>
            <w:t>(Scarfone &amp; Mell, 2007)</w:t>
          </w:r>
          <w:r w:rsidR="00F34995">
            <w:rPr>
              <w:rFonts w:eastAsia="Times New Roman" w:cstheme="minorBidi"/>
              <w:kern w:val="0"/>
              <w:szCs w:val="22"/>
              <w14:ligatures w14:val="none"/>
            </w:rPr>
            <w:fldChar w:fldCharType="end"/>
          </w:r>
        </w:sdtContent>
      </w:sdt>
      <w:r w:rsidRPr="005A7BB1">
        <w:rPr>
          <w:rFonts w:eastAsia="Times New Roman" w:cstheme="minorBidi"/>
          <w:kern w:val="0"/>
          <w:szCs w:val="22"/>
          <w14:ligatures w14:val="none"/>
        </w:rPr>
        <w:t>.</w:t>
      </w:r>
    </w:p>
    <w:p w14:paraId="22503037" w14:textId="652BE69E" w:rsidR="00F051BB" w:rsidRPr="00F051BB" w:rsidRDefault="005A7BB1" w:rsidP="005A7BB1">
      <w:pPr>
        <w:spacing w:before="0" w:after="120" w:line="360" w:lineRule="auto"/>
        <w:rPr>
          <w:rFonts w:eastAsia="Times New Roman" w:cstheme="minorBidi"/>
          <w:kern w:val="0"/>
          <w:szCs w:val="22"/>
          <w14:ligatures w14:val="none"/>
        </w:rPr>
      </w:pPr>
      <w:r w:rsidRPr="005A7BB1">
        <w:rPr>
          <w:rFonts w:eastAsia="Times New Roman" w:cstheme="minorBidi"/>
          <w:kern w:val="0"/>
          <w:szCs w:val="22"/>
          <w14:ligatures w14:val="none"/>
        </w:rPr>
        <w:t>This would hinder malware’s attempts to connect to a remote server, thereby increasing FinSecure’s chances of intercepting data theft or identifying an infected system before the incident escalates</w:t>
      </w:r>
      <w:r w:rsidR="00F051BB" w:rsidRPr="00F051BB">
        <w:rPr>
          <w:rFonts w:eastAsia="Times New Roman" w:cstheme="minorBidi"/>
          <w:kern w:val="0"/>
          <w:szCs w:val="22"/>
          <w14:ligatures w14:val="none"/>
        </w:rPr>
        <w:t>.</w:t>
      </w:r>
    </w:p>
    <w:p w14:paraId="14F965E6" w14:textId="0CB17160" w:rsidR="005818FB" w:rsidRPr="005818FB" w:rsidRDefault="005F7BF4" w:rsidP="005818FB">
      <w:r>
        <w:br w:type="page"/>
      </w:r>
    </w:p>
    <w:p w14:paraId="3EE66DF7" w14:textId="57BCD40E" w:rsidR="000211F7" w:rsidRPr="009E4070" w:rsidRDefault="000211F7" w:rsidP="00A45C00">
      <w:pPr>
        <w:pStyle w:val="Heading1"/>
        <w:numPr>
          <w:ilvl w:val="0"/>
          <w:numId w:val="4"/>
        </w:numPr>
        <w:spacing w:before="240" w:after="120" w:line="240" w:lineRule="auto"/>
        <w:ind w:left="360"/>
        <w:rPr>
          <w:rFonts w:ascii="Times New Roman" w:hAnsi="Times New Roman" w:cs="Times New Roman"/>
          <w:b/>
          <w:bCs/>
          <w:color w:val="auto"/>
          <w:sz w:val="28"/>
          <w:szCs w:val="28"/>
        </w:rPr>
      </w:pPr>
      <w:bookmarkStart w:id="12" w:name="_Toc234711496"/>
      <w:r w:rsidRPr="009E4070">
        <w:rPr>
          <w:rFonts w:ascii="Times New Roman" w:hAnsi="Times New Roman" w:cs="Times New Roman"/>
          <w:b/>
          <w:bCs/>
          <w:color w:val="auto"/>
          <w:sz w:val="28"/>
          <w:szCs w:val="28"/>
        </w:rPr>
        <w:lastRenderedPageBreak/>
        <w:t>References</w:t>
      </w:r>
      <w:bookmarkEnd w:id="12"/>
    </w:p>
    <w:sdt>
      <w:sdtPr>
        <w:id w:val="-2132924732"/>
        <w:docPartObj>
          <w:docPartGallery w:val="Bibliographies"/>
          <w:docPartUnique/>
        </w:docPartObj>
      </w:sdtPr>
      <w:sdtContent>
        <w:sdt>
          <w:sdtPr>
            <w:id w:val="-573587230"/>
            <w:bibliography/>
          </w:sdtPr>
          <w:sdtContent>
            <w:p w14:paraId="508322F6" w14:textId="4DC31A24" w:rsidR="004754BE" w:rsidRDefault="004754BE" w:rsidP="004754BE">
              <w:pPr>
                <w:pStyle w:val="Bibliography"/>
                <w:spacing w:before="0" w:after="120" w:line="360" w:lineRule="auto"/>
                <w:ind w:left="720" w:hanging="720"/>
                <w:rPr>
                  <w:noProof/>
                  <w:kern w:val="0"/>
                  <w14:ligatures w14:val="none"/>
                </w:rPr>
              </w:pPr>
              <w:r>
                <w:fldChar w:fldCharType="begin"/>
              </w:r>
              <w:r>
                <w:instrText xml:space="preserve"> BIBLIOGRAPHY </w:instrText>
              </w:r>
              <w:r>
                <w:fldChar w:fldCharType="separate"/>
              </w:r>
              <w:r>
                <w:rPr>
                  <w:noProof/>
                </w:rPr>
                <w:t xml:space="preserve">Nelson, A., Rekhi, S., Scarfone, K., &amp; Souppaya, M. (2025, April 3). </w:t>
              </w:r>
              <w:r>
                <w:rPr>
                  <w:i/>
                  <w:iCs/>
                  <w:noProof/>
                </w:rPr>
                <w:t>Incident Response Recommendations and Considerations for Cybersecurity Risk Management: A CSF 2.0 Community Profile</w:t>
              </w:r>
              <w:r>
                <w:rPr>
                  <w:noProof/>
                </w:rPr>
                <w:t>. Retrieved from NIST: https://www.nist.gov/publications/incident-response-recommendations-and-considerations-cybersecurity-risk-management-csf</w:t>
              </w:r>
            </w:p>
            <w:p w14:paraId="51E114BA" w14:textId="77777777" w:rsidR="004754BE" w:rsidRDefault="004754BE" w:rsidP="004754BE">
              <w:pPr>
                <w:pStyle w:val="Bibliography"/>
                <w:spacing w:before="0" w:after="120" w:line="360" w:lineRule="auto"/>
                <w:ind w:left="720" w:hanging="720"/>
                <w:rPr>
                  <w:noProof/>
                </w:rPr>
              </w:pPr>
              <w:r>
                <w:rPr>
                  <w:noProof/>
                </w:rPr>
                <w:t xml:space="preserve">Scarfone, K., &amp; Hoffman, P. (2009). </w:t>
              </w:r>
              <w:r>
                <w:rPr>
                  <w:i/>
                  <w:iCs/>
                  <w:noProof/>
                </w:rPr>
                <w:t>Guidelines on Firewalls and Firewall Policy.</w:t>
              </w:r>
              <w:r>
                <w:rPr>
                  <w:noProof/>
                </w:rPr>
                <w:t xml:space="preserve"> National Institute of Standards and Technology. doi:10.6028/NIST.SP.800-41r1</w:t>
              </w:r>
            </w:p>
            <w:p w14:paraId="42E509D9" w14:textId="77777777" w:rsidR="004754BE" w:rsidRDefault="004754BE" w:rsidP="004754BE">
              <w:pPr>
                <w:pStyle w:val="Bibliography"/>
                <w:spacing w:before="0" w:after="120" w:line="360" w:lineRule="auto"/>
                <w:ind w:left="720" w:hanging="720"/>
                <w:rPr>
                  <w:noProof/>
                </w:rPr>
              </w:pPr>
              <w:r>
                <w:rPr>
                  <w:noProof/>
                </w:rPr>
                <w:t xml:space="preserve">Scarfone, K., &amp; Mell, P. (2007). </w:t>
              </w:r>
              <w:r>
                <w:rPr>
                  <w:i/>
                  <w:iCs/>
                  <w:noProof/>
                </w:rPr>
                <w:t>Guide to Intrusion Detection and Prevention Systems (IDPS).</w:t>
              </w:r>
              <w:r>
                <w:rPr>
                  <w:noProof/>
                </w:rPr>
                <w:t xml:space="preserve"> National Institute of Standards and Technology. doi:10.6028/NIST.SP.800-94</w:t>
              </w:r>
            </w:p>
            <w:p w14:paraId="67B7A159" w14:textId="77777777" w:rsidR="004754BE" w:rsidRDefault="004754BE" w:rsidP="004754BE">
              <w:pPr>
                <w:pStyle w:val="Bibliography"/>
                <w:spacing w:before="0" w:after="120" w:line="360" w:lineRule="auto"/>
                <w:ind w:left="720" w:hanging="720"/>
                <w:rPr>
                  <w:noProof/>
                </w:rPr>
              </w:pPr>
              <w:r>
                <w:rPr>
                  <w:noProof/>
                </w:rPr>
                <w:t xml:space="preserve">Western Governors University. (n.d.). </w:t>
              </w:r>
              <w:r>
                <w:rPr>
                  <w:i/>
                  <w:iCs/>
                  <w:noProof/>
                </w:rPr>
                <w:t>C845 Task 2: Incident and Network Security Artifacts.</w:t>
              </w:r>
              <w:r>
                <w:rPr>
                  <w:noProof/>
                </w:rPr>
                <w:t xml:space="preserve"> Western Governors University.</w:t>
              </w:r>
            </w:p>
            <w:p w14:paraId="37F32E49" w14:textId="652817AC" w:rsidR="004754BE" w:rsidRDefault="004754BE" w:rsidP="004754BE">
              <w:pPr>
                <w:spacing w:before="0" w:after="120" w:line="360" w:lineRule="auto"/>
              </w:pPr>
              <w:r>
                <w:rPr>
                  <w:b/>
                  <w:bCs/>
                  <w:noProof/>
                </w:rPr>
                <w:fldChar w:fldCharType="end"/>
              </w:r>
            </w:p>
          </w:sdtContent>
        </w:sdt>
      </w:sdtContent>
    </w:sdt>
    <w:p w14:paraId="6ABED5BD" w14:textId="77777777" w:rsidR="009E4070" w:rsidRPr="000211F7" w:rsidRDefault="009E4070" w:rsidP="009E4070">
      <w:pPr>
        <w:pStyle w:val="ListParagraph"/>
        <w:spacing w:before="240" w:after="240" w:line="240" w:lineRule="auto"/>
        <w:ind w:left="360"/>
        <w:contextualSpacing w:val="0"/>
        <w:rPr>
          <w:b/>
          <w:bCs/>
          <w:sz w:val="28"/>
          <w:szCs w:val="28"/>
        </w:rPr>
      </w:pPr>
    </w:p>
    <w:sectPr w:rsidR="009E4070" w:rsidRPr="000211F7" w:rsidSect="005818FB">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2F672" w14:textId="77777777" w:rsidR="00F67071" w:rsidRDefault="00F67071" w:rsidP="000729D1">
      <w:pPr>
        <w:spacing w:before="0" w:after="0" w:line="240" w:lineRule="auto"/>
      </w:pPr>
      <w:r>
        <w:separator/>
      </w:r>
    </w:p>
  </w:endnote>
  <w:endnote w:type="continuationSeparator" w:id="0">
    <w:p w14:paraId="51DDEBB8" w14:textId="77777777" w:rsidR="00F67071" w:rsidRDefault="00F67071" w:rsidP="000729D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391104"/>
      <w:docPartObj>
        <w:docPartGallery w:val="Page Numbers (Bottom of Page)"/>
        <w:docPartUnique/>
      </w:docPartObj>
    </w:sdtPr>
    <w:sdtEndPr>
      <w:rPr>
        <w:noProof/>
        <w:sz w:val="20"/>
        <w:szCs w:val="20"/>
      </w:rPr>
    </w:sdtEndPr>
    <w:sdtContent>
      <w:p w14:paraId="75A45D25" w14:textId="4C65023D" w:rsidR="000729D1" w:rsidRPr="000729D1" w:rsidRDefault="000729D1">
        <w:pPr>
          <w:pStyle w:val="Footer"/>
          <w:jc w:val="center"/>
          <w:rPr>
            <w:sz w:val="20"/>
            <w:szCs w:val="20"/>
          </w:rPr>
        </w:pPr>
        <w:r w:rsidRPr="000729D1">
          <w:rPr>
            <w:sz w:val="20"/>
            <w:szCs w:val="20"/>
          </w:rPr>
          <w:fldChar w:fldCharType="begin"/>
        </w:r>
        <w:r w:rsidRPr="000729D1">
          <w:rPr>
            <w:sz w:val="20"/>
            <w:szCs w:val="20"/>
          </w:rPr>
          <w:instrText xml:space="preserve"> PAGE   \* MERGEFORMAT </w:instrText>
        </w:r>
        <w:r w:rsidRPr="000729D1">
          <w:rPr>
            <w:sz w:val="20"/>
            <w:szCs w:val="20"/>
          </w:rPr>
          <w:fldChar w:fldCharType="separate"/>
        </w:r>
        <w:r w:rsidRPr="000729D1">
          <w:rPr>
            <w:noProof/>
            <w:sz w:val="20"/>
            <w:szCs w:val="20"/>
          </w:rPr>
          <w:t>2</w:t>
        </w:r>
        <w:r w:rsidRPr="000729D1">
          <w:rPr>
            <w:noProof/>
            <w:sz w:val="20"/>
            <w:szCs w:val="20"/>
          </w:rPr>
          <w:fldChar w:fldCharType="end"/>
        </w:r>
      </w:p>
    </w:sdtContent>
  </w:sdt>
  <w:p w14:paraId="2038AF94" w14:textId="77777777" w:rsidR="000729D1" w:rsidRDefault="000729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176F1" w14:textId="77777777" w:rsidR="00F67071" w:rsidRDefault="00F67071" w:rsidP="000729D1">
      <w:pPr>
        <w:spacing w:before="0" w:after="0" w:line="240" w:lineRule="auto"/>
      </w:pPr>
      <w:r>
        <w:separator/>
      </w:r>
    </w:p>
  </w:footnote>
  <w:footnote w:type="continuationSeparator" w:id="0">
    <w:p w14:paraId="575FBC0B" w14:textId="77777777" w:rsidR="00F67071" w:rsidRDefault="00F67071" w:rsidP="000729D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64FD7" w14:textId="24219E69" w:rsidR="000729D1" w:rsidRPr="000729D1" w:rsidRDefault="000729D1" w:rsidP="000729D1">
    <w:pPr>
      <w:pStyle w:val="Header"/>
      <w:jc w:val="center"/>
      <w:rPr>
        <w:b/>
        <w:bCs/>
        <w:sz w:val="20"/>
        <w:szCs w:val="20"/>
      </w:rPr>
    </w:pPr>
    <w:r w:rsidRPr="000729D1">
      <w:rPr>
        <w:b/>
        <w:bCs/>
        <w:sz w:val="20"/>
        <w:szCs w:val="20"/>
      </w:rPr>
      <w:t>FinSecure Corp. Incident and Network Security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92A8A"/>
    <w:multiLevelType w:val="hybridMultilevel"/>
    <w:tmpl w:val="979A54DE"/>
    <w:lvl w:ilvl="0" w:tplc="04090015">
      <w:start w:val="1"/>
      <w:numFmt w:val="upperLetter"/>
      <w:lvlText w:val="%1."/>
      <w:lvlJc w:val="left"/>
      <w:pPr>
        <w:ind w:left="3150" w:hanging="360"/>
      </w:pPr>
      <w:rPr>
        <w:rFonts w:hint="default"/>
      </w:rPr>
    </w:lvl>
    <w:lvl w:ilvl="1" w:tplc="04090019" w:tentative="1">
      <w:start w:val="1"/>
      <w:numFmt w:val="lowerLetter"/>
      <w:lvlText w:val="%2."/>
      <w:lvlJc w:val="left"/>
      <w:pPr>
        <w:ind w:left="3870" w:hanging="360"/>
      </w:pPr>
    </w:lvl>
    <w:lvl w:ilvl="2" w:tplc="0409001B" w:tentative="1">
      <w:start w:val="1"/>
      <w:numFmt w:val="lowerRoman"/>
      <w:lvlText w:val="%3."/>
      <w:lvlJc w:val="right"/>
      <w:pPr>
        <w:ind w:left="4590" w:hanging="180"/>
      </w:pPr>
    </w:lvl>
    <w:lvl w:ilvl="3" w:tplc="0409000F" w:tentative="1">
      <w:start w:val="1"/>
      <w:numFmt w:val="decimal"/>
      <w:lvlText w:val="%4."/>
      <w:lvlJc w:val="left"/>
      <w:pPr>
        <w:ind w:left="5310" w:hanging="360"/>
      </w:pPr>
    </w:lvl>
    <w:lvl w:ilvl="4" w:tplc="04090019" w:tentative="1">
      <w:start w:val="1"/>
      <w:numFmt w:val="lowerLetter"/>
      <w:lvlText w:val="%5."/>
      <w:lvlJc w:val="left"/>
      <w:pPr>
        <w:ind w:left="6030" w:hanging="360"/>
      </w:pPr>
    </w:lvl>
    <w:lvl w:ilvl="5" w:tplc="0409001B" w:tentative="1">
      <w:start w:val="1"/>
      <w:numFmt w:val="lowerRoman"/>
      <w:lvlText w:val="%6."/>
      <w:lvlJc w:val="right"/>
      <w:pPr>
        <w:ind w:left="6750" w:hanging="180"/>
      </w:pPr>
    </w:lvl>
    <w:lvl w:ilvl="6" w:tplc="0409000F" w:tentative="1">
      <w:start w:val="1"/>
      <w:numFmt w:val="decimal"/>
      <w:lvlText w:val="%7."/>
      <w:lvlJc w:val="left"/>
      <w:pPr>
        <w:ind w:left="7470" w:hanging="360"/>
      </w:pPr>
    </w:lvl>
    <w:lvl w:ilvl="7" w:tplc="04090019" w:tentative="1">
      <w:start w:val="1"/>
      <w:numFmt w:val="lowerLetter"/>
      <w:lvlText w:val="%8."/>
      <w:lvlJc w:val="left"/>
      <w:pPr>
        <w:ind w:left="8190" w:hanging="360"/>
      </w:pPr>
    </w:lvl>
    <w:lvl w:ilvl="8" w:tplc="0409001B" w:tentative="1">
      <w:start w:val="1"/>
      <w:numFmt w:val="lowerRoman"/>
      <w:lvlText w:val="%9."/>
      <w:lvlJc w:val="right"/>
      <w:pPr>
        <w:ind w:left="8910" w:hanging="180"/>
      </w:pPr>
    </w:lvl>
  </w:abstractNum>
  <w:abstractNum w:abstractNumId="1" w15:restartNumberingAfterBreak="0">
    <w:nsid w:val="27274762"/>
    <w:multiLevelType w:val="hybridMultilevel"/>
    <w:tmpl w:val="AF586F02"/>
    <w:lvl w:ilvl="0" w:tplc="F9CEF63A">
      <w:start w:val="1"/>
      <w:numFmt w:val="upperLetter"/>
      <w:lvlText w:val="%1."/>
      <w:lvlJc w:val="left"/>
      <w:pPr>
        <w:ind w:left="180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360" w:hanging="360"/>
      </w:pPr>
    </w:lvl>
    <w:lvl w:ilvl="4" w:tplc="04090019" w:tentative="1">
      <w:start w:val="1"/>
      <w:numFmt w:val="lowerLetter"/>
      <w:lvlText w:val="%5."/>
      <w:lvlJc w:val="left"/>
      <w:pPr>
        <w:ind w:left="1080" w:hanging="360"/>
      </w:pPr>
    </w:lvl>
    <w:lvl w:ilvl="5" w:tplc="0409001B" w:tentative="1">
      <w:start w:val="1"/>
      <w:numFmt w:val="lowerRoman"/>
      <w:lvlText w:val="%6."/>
      <w:lvlJc w:val="right"/>
      <w:pPr>
        <w:ind w:left="1800" w:hanging="180"/>
      </w:pPr>
    </w:lvl>
    <w:lvl w:ilvl="6" w:tplc="0409000F" w:tentative="1">
      <w:start w:val="1"/>
      <w:numFmt w:val="decimal"/>
      <w:lvlText w:val="%7."/>
      <w:lvlJc w:val="left"/>
      <w:pPr>
        <w:ind w:left="2520" w:hanging="360"/>
      </w:pPr>
    </w:lvl>
    <w:lvl w:ilvl="7" w:tplc="04090019" w:tentative="1">
      <w:start w:val="1"/>
      <w:numFmt w:val="lowerLetter"/>
      <w:lvlText w:val="%8."/>
      <w:lvlJc w:val="left"/>
      <w:pPr>
        <w:ind w:left="3240" w:hanging="360"/>
      </w:pPr>
    </w:lvl>
    <w:lvl w:ilvl="8" w:tplc="0409001B" w:tentative="1">
      <w:start w:val="1"/>
      <w:numFmt w:val="lowerRoman"/>
      <w:lvlText w:val="%9."/>
      <w:lvlJc w:val="right"/>
      <w:pPr>
        <w:ind w:left="3960" w:hanging="180"/>
      </w:pPr>
    </w:lvl>
  </w:abstractNum>
  <w:abstractNum w:abstractNumId="2" w15:restartNumberingAfterBreak="0">
    <w:nsid w:val="28864901"/>
    <w:multiLevelType w:val="hybridMultilevel"/>
    <w:tmpl w:val="00AE5ED2"/>
    <w:lvl w:ilvl="0" w:tplc="519C3F02">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8A2E1E"/>
    <w:multiLevelType w:val="hybridMultilevel"/>
    <w:tmpl w:val="7AA20472"/>
    <w:lvl w:ilvl="0" w:tplc="F9CEF63A">
      <w:start w:val="1"/>
      <w:numFmt w:val="upperLetter"/>
      <w:lvlText w:val="%1."/>
      <w:lvlJc w:val="left"/>
      <w:pPr>
        <w:ind w:left="3420" w:hanging="360"/>
      </w:pPr>
      <w:rPr>
        <w:b/>
        <w:bCs/>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4" w15:restartNumberingAfterBreak="0">
    <w:nsid w:val="7B2B798A"/>
    <w:multiLevelType w:val="hybridMultilevel"/>
    <w:tmpl w:val="4B5EC87E"/>
    <w:lvl w:ilvl="0" w:tplc="425637D8">
      <w:start w:val="1"/>
      <w:numFmt w:val="upperLetter"/>
      <w:pStyle w:val="TOC1"/>
      <w:lvlText w:val="%1."/>
      <w:lvlJc w:val="left"/>
      <w:pPr>
        <w:ind w:left="720" w:hanging="360"/>
      </w:pPr>
      <w:rPr>
        <w:rFonts w:ascii="Times New Roman" w:eastAsiaTheme="minorHAnsi" w:hAnsi="Times New Roman" w:cs="Times New Roman" w:hint="default"/>
        <w:b/>
        <w:bCs w:val="0"/>
        <w:color w:val="auto"/>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39093F"/>
    <w:multiLevelType w:val="hybridMultilevel"/>
    <w:tmpl w:val="5FF8111E"/>
    <w:lvl w:ilvl="0" w:tplc="91280F7C">
      <w:start w:val="1"/>
      <w:numFmt w:val="upperLetter"/>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3230524">
    <w:abstractNumId w:val="5"/>
  </w:num>
  <w:num w:numId="2" w16cid:durableId="1548566567">
    <w:abstractNumId w:val="0"/>
  </w:num>
  <w:num w:numId="3" w16cid:durableId="1230536593">
    <w:abstractNumId w:val="3"/>
  </w:num>
  <w:num w:numId="4" w16cid:durableId="330064109">
    <w:abstractNumId w:val="1"/>
  </w:num>
  <w:num w:numId="5" w16cid:durableId="1102920230">
    <w:abstractNumId w:val="4"/>
  </w:num>
  <w:num w:numId="6" w16cid:durableId="205214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9D1"/>
    <w:rsid w:val="000133F0"/>
    <w:rsid w:val="000211F7"/>
    <w:rsid w:val="00034570"/>
    <w:rsid w:val="00041BB1"/>
    <w:rsid w:val="000430FC"/>
    <w:rsid w:val="00045879"/>
    <w:rsid w:val="000554AC"/>
    <w:rsid w:val="00055D65"/>
    <w:rsid w:val="00060E1A"/>
    <w:rsid w:val="000729D1"/>
    <w:rsid w:val="000849B1"/>
    <w:rsid w:val="00085852"/>
    <w:rsid w:val="00092A38"/>
    <w:rsid w:val="00095ECC"/>
    <w:rsid w:val="000A3E71"/>
    <w:rsid w:val="000C54DF"/>
    <w:rsid w:val="000F2576"/>
    <w:rsid w:val="00113EC3"/>
    <w:rsid w:val="00125C44"/>
    <w:rsid w:val="00140BEC"/>
    <w:rsid w:val="00155D83"/>
    <w:rsid w:val="001800DF"/>
    <w:rsid w:val="00183E59"/>
    <w:rsid w:val="001A51A6"/>
    <w:rsid w:val="001B4A7E"/>
    <w:rsid w:val="001C1B9A"/>
    <w:rsid w:val="001C3226"/>
    <w:rsid w:val="001D6D87"/>
    <w:rsid w:val="00205E85"/>
    <w:rsid w:val="00214CCA"/>
    <w:rsid w:val="002178C1"/>
    <w:rsid w:val="00226D92"/>
    <w:rsid w:val="00241415"/>
    <w:rsid w:val="002537E1"/>
    <w:rsid w:val="002763FE"/>
    <w:rsid w:val="002769CB"/>
    <w:rsid w:val="00281D09"/>
    <w:rsid w:val="00281E13"/>
    <w:rsid w:val="00293C58"/>
    <w:rsid w:val="002C112E"/>
    <w:rsid w:val="002D7756"/>
    <w:rsid w:val="0030464C"/>
    <w:rsid w:val="0030649B"/>
    <w:rsid w:val="003154E6"/>
    <w:rsid w:val="003408C6"/>
    <w:rsid w:val="00341ABF"/>
    <w:rsid w:val="00346FF5"/>
    <w:rsid w:val="003476E1"/>
    <w:rsid w:val="00360914"/>
    <w:rsid w:val="003759E3"/>
    <w:rsid w:val="003A3D57"/>
    <w:rsid w:val="003B5D84"/>
    <w:rsid w:val="003C2BD4"/>
    <w:rsid w:val="004024F8"/>
    <w:rsid w:val="00413A2C"/>
    <w:rsid w:val="00421A17"/>
    <w:rsid w:val="004609EB"/>
    <w:rsid w:val="00463CEE"/>
    <w:rsid w:val="0047184E"/>
    <w:rsid w:val="004754BE"/>
    <w:rsid w:val="00490423"/>
    <w:rsid w:val="00492329"/>
    <w:rsid w:val="004B2169"/>
    <w:rsid w:val="004B3806"/>
    <w:rsid w:val="004B4602"/>
    <w:rsid w:val="004B4D2A"/>
    <w:rsid w:val="004D0E32"/>
    <w:rsid w:val="004D3E0F"/>
    <w:rsid w:val="00502A2E"/>
    <w:rsid w:val="0051282B"/>
    <w:rsid w:val="005140B2"/>
    <w:rsid w:val="00526039"/>
    <w:rsid w:val="005370B7"/>
    <w:rsid w:val="00540F08"/>
    <w:rsid w:val="005573FD"/>
    <w:rsid w:val="005744C4"/>
    <w:rsid w:val="00581145"/>
    <w:rsid w:val="005818FB"/>
    <w:rsid w:val="00595052"/>
    <w:rsid w:val="005A7BB1"/>
    <w:rsid w:val="005B17AA"/>
    <w:rsid w:val="005B78A5"/>
    <w:rsid w:val="005C04FC"/>
    <w:rsid w:val="005D0311"/>
    <w:rsid w:val="005E777B"/>
    <w:rsid w:val="005F7008"/>
    <w:rsid w:val="005F7BF4"/>
    <w:rsid w:val="00606E55"/>
    <w:rsid w:val="006322B8"/>
    <w:rsid w:val="006644E7"/>
    <w:rsid w:val="00666A09"/>
    <w:rsid w:val="00674D88"/>
    <w:rsid w:val="00677383"/>
    <w:rsid w:val="00682A8D"/>
    <w:rsid w:val="0068392B"/>
    <w:rsid w:val="00684033"/>
    <w:rsid w:val="00686D12"/>
    <w:rsid w:val="00690200"/>
    <w:rsid w:val="006B26AB"/>
    <w:rsid w:val="006C7C02"/>
    <w:rsid w:val="006E3B7F"/>
    <w:rsid w:val="006E3E90"/>
    <w:rsid w:val="006F6E1F"/>
    <w:rsid w:val="00730848"/>
    <w:rsid w:val="007330BA"/>
    <w:rsid w:val="00745910"/>
    <w:rsid w:val="00777E4A"/>
    <w:rsid w:val="00786170"/>
    <w:rsid w:val="007918C9"/>
    <w:rsid w:val="007955FE"/>
    <w:rsid w:val="00796123"/>
    <w:rsid w:val="007A1609"/>
    <w:rsid w:val="007C342A"/>
    <w:rsid w:val="007C4DA9"/>
    <w:rsid w:val="007D5544"/>
    <w:rsid w:val="007D5DBA"/>
    <w:rsid w:val="00802E65"/>
    <w:rsid w:val="0081077E"/>
    <w:rsid w:val="008475A9"/>
    <w:rsid w:val="00857016"/>
    <w:rsid w:val="008A49CB"/>
    <w:rsid w:val="008B5C8E"/>
    <w:rsid w:val="008B7FB6"/>
    <w:rsid w:val="008E34B8"/>
    <w:rsid w:val="008E3BA7"/>
    <w:rsid w:val="00915980"/>
    <w:rsid w:val="00927240"/>
    <w:rsid w:val="00940788"/>
    <w:rsid w:val="00966EEA"/>
    <w:rsid w:val="009754A2"/>
    <w:rsid w:val="00984678"/>
    <w:rsid w:val="00985384"/>
    <w:rsid w:val="009877BF"/>
    <w:rsid w:val="009A229E"/>
    <w:rsid w:val="009D19FF"/>
    <w:rsid w:val="009E32AA"/>
    <w:rsid w:val="009E4070"/>
    <w:rsid w:val="009F519F"/>
    <w:rsid w:val="00A07C1E"/>
    <w:rsid w:val="00A15496"/>
    <w:rsid w:val="00A45C00"/>
    <w:rsid w:val="00A460C1"/>
    <w:rsid w:val="00A52E07"/>
    <w:rsid w:val="00A558C1"/>
    <w:rsid w:val="00A6285E"/>
    <w:rsid w:val="00A63B74"/>
    <w:rsid w:val="00AA475D"/>
    <w:rsid w:val="00AA5CD9"/>
    <w:rsid w:val="00AD0FEB"/>
    <w:rsid w:val="00AD10C0"/>
    <w:rsid w:val="00AE03B0"/>
    <w:rsid w:val="00B03A8C"/>
    <w:rsid w:val="00B2477E"/>
    <w:rsid w:val="00B24ADE"/>
    <w:rsid w:val="00B34273"/>
    <w:rsid w:val="00B36FC0"/>
    <w:rsid w:val="00B61DF7"/>
    <w:rsid w:val="00B71BDF"/>
    <w:rsid w:val="00B82CDA"/>
    <w:rsid w:val="00B8513B"/>
    <w:rsid w:val="00B86B6C"/>
    <w:rsid w:val="00BA2F19"/>
    <w:rsid w:val="00BC0110"/>
    <w:rsid w:val="00BC1BFB"/>
    <w:rsid w:val="00BC7876"/>
    <w:rsid w:val="00BD77FB"/>
    <w:rsid w:val="00BF4E57"/>
    <w:rsid w:val="00BF5B07"/>
    <w:rsid w:val="00C12516"/>
    <w:rsid w:val="00C14F53"/>
    <w:rsid w:val="00C167ED"/>
    <w:rsid w:val="00C3699D"/>
    <w:rsid w:val="00C40289"/>
    <w:rsid w:val="00C74BEE"/>
    <w:rsid w:val="00C82D4C"/>
    <w:rsid w:val="00C84CF9"/>
    <w:rsid w:val="00C95FEE"/>
    <w:rsid w:val="00CA0FD0"/>
    <w:rsid w:val="00CA42EB"/>
    <w:rsid w:val="00CA74F5"/>
    <w:rsid w:val="00CC227D"/>
    <w:rsid w:val="00CD1B02"/>
    <w:rsid w:val="00CD20DA"/>
    <w:rsid w:val="00CE6BC7"/>
    <w:rsid w:val="00D15BBF"/>
    <w:rsid w:val="00D228B9"/>
    <w:rsid w:val="00D30C4D"/>
    <w:rsid w:val="00D3186B"/>
    <w:rsid w:val="00D32321"/>
    <w:rsid w:val="00D9070E"/>
    <w:rsid w:val="00DA1222"/>
    <w:rsid w:val="00DA20A0"/>
    <w:rsid w:val="00DC552B"/>
    <w:rsid w:val="00DD2810"/>
    <w:rsid w:val="00DD593A"/>
    <w:rsid w:val="00DE3D46"/>
    <w:rsid w:val="00DE6C0A"/>
    <w:rsid w:val="00E11A8F"/>
    <w:rsid w:val="00E121BA"/>
    <w:rsid w:val="00E13720"/>
    <w:rsid w:val="00E33463"/>
    <w:rsid w:val="00E727D0"/>
    <w:rsid w:val="00E92BC2"/>
    <w:rsid w:val="00EA224F"/>
    <w:rsid w:val="00EB6625"/>
    <w:rsid w:val="00EC5A8D"/>
    <w:rsid w:val="00EC650F"/>
    <w:rsid w:val="00EF71AC"/>
    <w:rsid w:val="00F050F3"/>
    <w:rsid w:val="00F051BB"/>
    <w:rsid w:val="00F11B60"/>
    <w:rsid w:val="00F13FBA"/>
    <w:rsid w:val="00F243B6"/>
    <w:rsid w:val="00F24736"/>
    <w:rsid w:val="00F32690"/>
    <w:rsid w:val="00F34995"/>
    <w:rsid w:val="00F4115B"/>
    <w:rsid w:val="00F4241E"/>
    <w:rsid w:val="00F5005B"/>
    <w:rsid w:val="00F57AAC"/>
    <w:rsid w:val="00F64975"/>
    <w:rsid w:val="00F67071"/>
    <w:rsid w:val="00F732FF"/>
    <w:rsid w:val="00F74FE2"/>
    <w:rsid w:val="00F7557C"/>
    <w:rsid w:val="00FA01BC"/>
    <w:rsid w:val="00FE69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5F09E"/>
  <w15:chartTrackingRefBased/>
  <w15:docId w15:val="{A9D729E9-FD07-49B6-8504-8E8ED4245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before="40" w:after="40" w:line="3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D1"/>
  </w:style>
  <w:style w:type="paragraph" w:styleId="Heading1">
    <w:name w:val="heading 1"/>
    <w:basedOn w:val="Normal"/>
    <w:next w:val="Normal"/>
    <w:link w:val="Heading1Char"/>
    <w:uiPriority w:val="9"/>
    <w:qFormat/>
    <w:rsid w:val="00072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2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9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9D1"/>
    <w:pPr>
      <w:keepNext/>
      <w:keepLines/>
      <w:spacing w:before="8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729D1"/>
    <w:pPr>
      <w:keepNext/>
      <w:keepLines/>
      <w:spacing w:before="8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729D1"/>
    <w:pPr>
      <w:keepNext/>
      <w:keepLines/>
      <w:spacing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29D1"/>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29D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29D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2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9D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9D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729D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729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729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729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729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729D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9D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9D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729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29D1"/>
    <w:rPr>
      <w:i/>
      <w:iCs/>
      <w:color w:val="404040" w:themeColor="text1" w:themeTint="BF"/>
    </w:rPr>
  </w:style>
  <w:style w:type="paragraph" w:styleId="ListParagraph">
    <w:name w:val="List Paragraph"/>
    <w:basedOn w:val="Normal"/>
    <w:uiPriority w:val="34"/>
    <w:qFormat/>
    <w:rsid w:val="000729D1"/>
    <w:pPr>
      <w:ind w:left="720"/>
      <w:contextualSpacing/>
    </w:pPr>
  </w:style>
  <w:style w:type="character" w:styleId="IntenseEmphasis">
    <w:name w:val="Intense Emphasis"/>
    <w:basedOn w:val="DefaultParagraphFont"/>
    <w:uiPriority w:val="21"/>
    <w:qFormat/>
    <w:rsid w:val="000729D1"/>
    <w:rPr>
      <w:i/>
      <w:iCs/>
      <w:color w:val="0F4761" w:themeColor="accent1" w:themeShade="BF"/>
    </w:rPr>
  </w:style>
  <w:style w:type="paragraph" w:styleId="IntenseQuote">
    <w:name w:val="Intense Quote"/>
    <w:basedOn w:val="Normal"/>
    <w:next w:val="Normal"/>
    <w:link w:val="IntenseQuoteChar"/>
    <w:uiPriority w:val="30"/>
    <w:qFormat/>
    <w:rsid w:val="00072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9D1"/>
    <w:rPr>
      <w:i/>
      <w:iCs/>
      <w:color w:val="0F4761" w:themeColor="accent1" w:themeShade="BF"/>
    </w:rPr>
  </w:style>
  <w:style w:type="character" w:styleId="IntenseReference">
    <w:name w:val="Intense Reference"/>
    <w:basedOn w:val="DefaultParagraphFont"/>
    <w:uiPriority w:val="32"/>
    <w:qFormat/>
    <w:rsid w:val="000729D1"/>
    <w:rPr>
      <w:b/>
      <w:bCs/>
      <w:smallCaps/>
      <w:color w:val="0F4761" w:themeColor="accent1" w:themeShade="BF"/>
      <w:spacing w:val="5"/>
    </w:rPr>
  </w:style>
  <w:style w:type="paragraph" w:styleId="Header">
    <w:name w:val="header"/>
    <w:basedOn w:val="Normal"/>
    <w:link w:val="HeaderChar"/>
    <w:uiPriority w:val="99"/>
    <w:unhideWhenUsed/>
    <w:rsid w:val="000729D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729D1"/>
  </w:style>
  <w:style w:type="paragraph" w:styleId="Footer">
    <w:name w:val="footer"/>
    <w:basedOn w:val="Normal"/>
    <w:link w:val="FooterChar"/>
    <w:uiPriority w:val="99"/>
    <w:unhideWhenUsed/>
    <w:rsid w:val="000729D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729D1"/>
  </w:style>
  <w:style w:type="paragraph" w:styleId="TOCHeading">
    <w:name w:val="TOC Heading"/>
    <w:basedOn w:val="Heading1"/>
    <w:next w:val="Normal"/>
    <w:uiPriority w:val="39"/>
    <w:unhideWhenUsed/>
    <w:qFormat/>
    <w:rsid w:val="009A229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26039"/>
    <w:pPr>
      <w:numPr>
        <w:numId w:val="5"/>
      </w:numPr>
      <w:tabs>
        <w:tab w:val="left" w:pos="720"/>
        <w:tab w:val="right" w:leader="dot" w:pos="9350"/>
      </w:tabs>
      <w:spacing w:before="240" w:after="240" w:line="240" w:lineRule="auto"/>
      <w:ind w:left="360"/>
    </w:pPr>
    <w:rPr>
      <w:sz w:val="28"/>
    </w:rPr>
  </w:style>
  <w:style w:type="paragraph" w:styleId="TOC2">
    <w:name w:val="toc 2"/>
    <w:basedOn w:val="Normal"/>
    <w:next w:val="Normal"/>
    <w:autoRedefine/>
    <w:uiPriority w:val="39"/>
    <w:unhideWhenUsed/>
    <w:rsid w:val="00526039"/>
    <w:pPr>
      <w:spacing w:before="240" w:after="240" w:line="240" w:lineRule="auto"/>
      <w:ind w:left="720" w:hanging="360"/>
    </w:pPr>
    <w:rPr>
      <w:sz w:val="25"/>
    </w:rPr>
  </w:style>
  <w:style w:type="character" w:styleId="Hyperlink">
    <w:name w:val="Hyperlink"/>
    <w:basedOn w:val="DefaultParagraphFont"/>
    <w:uiPriority w:val="99"/>
    <w:unhideWhenUsed/>
    <w:rsid w:val="009E4070"/>
    <w:rPr>
      <w:color w:val="467886" w:themeColor="hyperlink"/>
      <w:u w:val="single"/>
    </w:rPr>
  </w:style>
  <w:style w:type="paragraph" w:styleId="BodyText">
    <w:name w:val="Body Text"/>
    <w:basedOn w:val="Normal"/>
    <w:link w:val="BodyTextChar"/>
    <w:uiPriority w:val="99"/>
    <w:unhideWhenUsed/>
    <w:rsid w:val="00CD20DA"/>
    <w:pPr>
      <w:spacing w:before="0" w:after="120" w:line="360" w:lineRule="auto"/>
    </w:pPr>
    <w:rPr>
      <w:rFonts w:eastAsiaTheme="minorEastAsia" w:cstheme="minorBidi"/>
      <w:kern w:val="0"/>
      <w:szCs w:val="22"/>
      <w14:ligatures w14:val="none"/>
    </w:rPr>
  </w:style>
  <w:style w:type="character" w:customStyle="1" w:styleId="BodyTextChar">
    <w:name w:val="Body Text Char"/>
    <w:basedOn w:val="DefaultParagraphFont"/>
    <w:link w:val="BodyText"/>
    <w:uiPriority w:val="99"/>
    <w:rsid w:val="00CD20DA"/>
    <w:rPr>
      <w:rFonts w:eastAsiaTheme="minorEastAsia" w:cstheme="minorBidi"/>
      <w:kern w:val="0"/>
      <w:szCs w:val="22"/>
      <w14:ligatures w14:val="none"/>
    </w:rPr>
  </w:style>
  <w:style w:type="table" w:styleId="TableGrid">
    <w:name w:val="Table Grid"/>
    <w:basedOn w:val="TableNormal"/>
    <w:uiPriority w:val="59"/>
    <w:rsid w:val="005F7BF4"/>
    <w:pPr>
      <w:spacing w:before="0" w:after="0" w:line="240" w:lineRule="auto"/>
    </w:pPr>
    <w:rPr>
      <w:rFonts w:asciiTheme="minorHAnsi" w:eastAsiaTheme="minorEastAsia"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81D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4754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5229">
      <w:bodyDiv w:val="1"/>
      <w:marLeft w:val="0"/>
      <w:marRight w:val="0"/>
      <w:marTop w:val="0"/>
      <w:marBottom w:val="0"/>
      <w:divBdr>
        <w:top w:val="none" w:sz="0" w:space="0" w:color="auto"/>
        <w:left w:val="none" w:sz="0" w:space="0" w:color="auto"/>
        <w:bottom w:val="none" w:sz="0" w:space="0" w:color="auto"/>
        <w:right w:val="none" w:sz="0" w:space="0" w:color="auto"/>
      </w:divBdr>
    </w:div>
    <w:div w:id="58093123">
      <w:bodyDiv w:val="1"/>
      <w:marLeft w:val="0"/>
      <w:marRight w:val="0"/>
      <w:marTop w:val="0"/>
      <w:marBottom w:val="0"/>
      <w:divBdr>
        <w:top w:val="none" w:sz="0" w:space="0" w:color="auto"/>
        <w:left w:val="none" w:sz="0" w:space="0" w:color="auto"/>
        <w:bottom w:val="none" w:sz="0" w:space="0" w:color="auto"/>
        <w:right w:val="none" w:sz="0" w:space="0" w:color="auto"/>
      </w:divBdr>
    </w:div>
    <w:div w:id="67727817">
      <w:bodyDiv w:val="1"/>
      <w:marLeft w:val="0"/>
      <w:marRight w:val="0"/>
      <w:marTop w:val="0"/>
      <w:marBottom w:val="0"/>
      <w:divBdr>
        <w:top w:val="none" w:sz="0" w:space="0" w:color="auto"/>
        <w:left w:val="none" w:sz="0" w:space="0" w:color="auto"/>
        <w:bottom w:val="none" w:sz="0" w:space="0" w:color="auto"/>
        <w:right w:val="none" w:sz="0" w:space="0" w:color="auto"/>
      </w:divBdr>
    </w:div>
    <w:div w:id="74665004">
      <w:bodyDiv w:val="1"/>
      <w:marLeft w:val="0"/>
      <w:marRight w:val="0"/>
      <w:marTop w:val="0"/>
      <w:marBottom w:val="0"/>
      <w:divBdr>
        <w:top w:val="none" w:sz="0" w:space="0" w:color="auto"/>
        <w:left w:val="none" w:sz="0" w:space="0" w:color="auto"/>
        <w:bottom w:val="none" w:sz="0" w:space="0" w:color="auto"/>
        <w:right w:val="none" w:sz="0" w:space="0" w:color="auto"/>
      </w:divBdr>
    </w:div>
    <w:div w:id="95028770">
      <w:bodyDiv w:val="1"/>
      <w:marLeft w:val="0"/>
      <w:marRight w:val="0"/>
      <w:marTop w:val="0"/>
      <w:marBottom w:val="0"/>
      <w:divBdr>
        <w:top w:val="none" w:sz="0" w:space="0" w:color="auto"/>
        <w:left w:val="none" w:sz="0" w:space="0" w:color="auto"/>
        <w:bottom w:val="none" w:sz="0" w:space="0" w:color="auto"/>
        <w:right w:val="none" w:sz="0" w:space="0" w:color="auto"/>
      </w:divBdr>
    </w:div>
    <w:div w:id="209803314">
      <w:bodyDiv w:val="1"/>
      <w:marLeft w:val="0"/>
      <w:marRight w:val="0"/>
      <w:marTop w:val="0"/>
      <w:marBottom w:val="0"/>
      <w:divBdr>
        <w:top w:val="none" w:sz="0" w:space="0" w:color="auto"/>
        <w:left w:val="none" w:sz="0" w:space="0" w:color="auto"/>
        <w:bottom w:val="none" w:sz="0" w:space="0" w:color="auto"/>
        <w:right w:val="none" w:sz="0" w:space="0" w:color="auto"/>
      </w:divBdr>
    </w:div>
    <w:div w:id="236596312">
      <w:bodyDiv w:val="1"/>
      <w:marLeft w:val="0"/>
      <w:marRight w:val="0"/>
      <w:marTop w:val="0"/>
      <w:marBottom w:val="0"/>
      <w:divBdr>
        <w:top w:val="none" w:sz="0" w:space="0" w:color="auto"/>
        <w:left w:val="none" w:sz="0" w:space="0" w:color="auto"/>
        <w:bottom w:val="none" w:sz="0" w:space="0" w:color="auto"/>
        <w:right w:val="none" w:sz="0" w:space="0" w:color="auto"/>
      </w:divBdr>
    </w:div>
    <w:div w:id="299917274">
      <w:bodyDiv w:val="1"/>
      <w:marLeft w:val="0"/>
      <w:marRight w:val="0"/>
      <w:marTop w:val="0"/>
      <w:marBottom w:val="0"/>
      <w:divBdr>
        <w:top w:val="none" w:sz="0" w:space="0" w:color="auto"/>
        <w:left w:val="none" w:sz="0" w:space="0" w:color="auto"/>
        <w:bottom w:val="none" w:sz="0" w:space="0" w:color="auto"/>
        <w:right w:val="none" w:sz="0" w:space="0" w:color="auto"/>
      </w:divBdr>
    </w:div>
    <w:div w:id="300231845">
      <w:bodyDiv w:val="1"/>
      <w:marLeft w:val="0"/>
      <w:marRight w:val="0"/>
      <w:marTop w:val="0"/>
      <w:marBottom w:val="0"/>
      <w:divBdr>
        <w:top w:val="none" w:sz="0" w:space="0" w:color="auto"/>
        <w:left w:val="none" w:sz="0" w:space="0" w:color="auto"/>
        <w:bottom w:val="none" w:sz="0" w:space="0" w:color="auto"/>
        <w:right w:val="none" w:sz="0" w:space="0" w:color="auto"/>
      </w:divBdr>
    </w:div>
    <w:div w:id="401828307">
      <w:bodyDiv w:val="1"/>
      <w:marLeft w:val="0"/>
      <w:marRight w:val="0"/>
      <w:marTop w:val="0"/>
      <w:marBottom w:val="0"/>
      <w:divBdr>
        <w:top w:val="none" w:sz="0" w:space="0" w:color="auto"/>
        <w:left w:val="none" w:sz="0" w:space="0" w:color="auto"/>
        <w:bottom w:val="none" w:sz="0" w:space="0" w:color="auto"/>
        <w:right w:val="none" w:sz="0" w:space="0" w:color="auto"/>
      </w:divBdr>
    </w:div>
    <w:div w:id="820805141">
      <w:bodyDiv w:val="1"/>
      <w:marLeft w:val="0"/>
      <w:marRight w:val="0"/>
      <w:marTop w:val="0"/>
      <w:marBottom w:val="0"/>
      <w:divBdr>
        <w:top w:val="none" w:sz="0" w:space="0" w:color="auto"/>
        <w:left w:val="none" w:sz="0" w:space="0" w:color="auto"/>
        <w:bottom w:val="none" w:sz="0" w:space="0" w:color="auto"/>
        <w:right w:val="none" w:sz="0" w:space="0" w:color="auto"/>
      </w:divBdr>
    </w:div>
    <w:div w:id="864488602">
      <w:bodyDiv w:val="1"/>
      <w:marLeft w:val="0"/>
      <w:marRight w:val="0"/>
      <w:marTop w:val="0"/>
      <w:marBottom w:val="0"/>
      <w:divBdr>
        <w:top w:val="none" w:sz="0" w:space="0" w:color="auto"/>
        <w:left w:val="none" w:sz="0" w:space="0" w:color="auto"/>
        <w:bottom w:val="none" w:sz="0" w:space="0" w:color="auto"/>
        <w:right w:val="none" w:sz="0" w:space="0" w:color="auto"/>
      </w:divBdr>
    </w:div>
    <w:div w:id="868880225">
      <w:bodyDiv w:val="1"/>
      <w:marLeft w:val="0"/>
      <w:marRight w:val="0"/>
      <w:marTop w:val="0"/>
      <w:marBottom w:val="0"/>
      <w:divBdr>
        <w:top w:val="none" w:sz="0" w:space="0" w:color="auto"/>
        <w:left w:val="none" w:sz="0" w:space="0" w:color="auto"/>
        <w:bottom w:val="none" w:sz="0" w:space="0" w:color="auto"/>
        <w:right w:val="none" w:sz="0" w:space="0" w:color="auto"/>
      </w:divBdr>
    </w:div>
    <w:div w:id="889801776">
      <w:bodyDiv w:val="1"/>
      <w:marLeft w:val="0"/>
      <w:marRight w:val="0"/>
      <w:marTop w:val="0"/>
      <w:marBottom w:val="0"/>
      <w:divBdr>
        <w:top w:val="none" w:sz="0" w:space="0" w:color="auto"/>
        <w:left w:val="none" w:sz="0" w:space="0" w:color="auto"/>
        <w:bottom w:val="none" w:sz="0" w:space="0" w:color="auto"/>
        <w:right w:val="none" w:sz="0" w:space="0" w:color="auto"/>
      </w:divBdr>
    </w:div>
    <w:div w:id="925378947">
      <w:bodyDiv w:val="1"/>
      <w:marLeft w:val="0"/>
      <w:marRight w:val="0"/>
      <w:marTop w:val="0"/>
      <w:marBottom w:val="0"/>
      <w:divBdr>
        <w:top w:val="none" w:sz="0" w:space="0" w:color="auto"/>
        <w:left w:val="none" w:sz="0" w:space="0" w:color="auto"/>
        <w:bottom w:val="none" w:sz="0" w:space="0" w:color="auto"/>
        <w:right w:val="none" w:sz="0" w:space="0" w:color="auto"/>
      </w:divBdr>
    </w:div>
    <w:div w:id="1047340710">
      <w:bodyDiv w:val="1"/>
      <w:marLeft w:val="0"/>
      <w:marRight w:val="0"/>
      <w:marTop w:val="0"/>
      <w:marBottom w:val="0"/>
      <w:divBdr>
        <w:top w:val="none" w:sz="0" w:space="0" w:color="auto"/>
        <w:left w:val="none" w:sz="0" w:space="0" w:color="auto"/>
        <w:bottom w:val="none" w:sz="0" w:space="0" w:color="auto"/>
        <w:right w:val="none" w:sz="0" w:space="0" w:color="auto"/>
      </w:divBdr>
    </w:div>
    <w:div w:id="1062677699">
      <w:bodyDiv w:val="1"/>
      <w:marLeft w:val="0"/>
      <w:marRight w:val="0"/>
      <w:marTop w:val="0"/>
      <w:marBottom w:val="0"/>
      <w:divBdr>
        <w:top w:val="none" w:sz="0" w:space="0" w:color="auto"/>
        <w:left w:val="none" w:sz="0" w:space="0" w:color="auto"/>
        <w:bottom w:val="none" w:sz="0" w:space="0" w:color="auto"/>
        <w:right w:val="none" w:sz="0" w:space="0" w:color="auto"/>
      </w:divBdr>
    </w:div>
    <w:div w:id="1077896545">
      <w:bodyDiv w:val="1"/>
      <w:marLeft w:val="0"/>
      <w:marRight w:val="0"/>
      <w:marTop w:val="0"/>
      <w:marBottom w:val="0"/>
      <w:divBdr>
        <w:top w:val="none" w:sz="0" w:space="0" w:color="auto"/>
        <w:left w:val="none" w:sz="0" w:space="0" w:color="auto"/>
        <w:bottom w:val="none" w:sz="0" w:space="0" w:color="auto"/>
        <w:right w:val="none" w:sz="0" w:space="0" w:color="auto"/>
      </w:divBdr>
    </w:div>
    <w:div w:id="1120759654">
      <w:bodyDiv w:val="1"/>
      <w:marLeft w:val="0"/>
      <w:marRight w:val="0"/>
      <w:marTop w:val="0"/>
      <w:marBottom w:val="0"/>
      <w:divBdr>
        <w:top w:val="none" w:sz="0" w:space="0" w:color="auto"/>
        <w:left w:val="none" w:sz="0" w:space="0" w:color="auto"/>
        <w:bottom w:val="none" w:sz="0" w:space="0" w:color="auto"/>
        <w:right w:val="none" w:sz="0" w:space="0" w:color="auto"/>
      </w:divBdr>
    </w:div>
    <w:div w:id="1332754854">
      <w:bodyDiv w:val="1"/>
      <w:marLeft w:val="0"/>
      <w:marRight w:val="0"/>
      <w:marTop w:val="0"/>
      <w:marBottom w:val="0"/>
      <w:divBdr>
        <w:top w:val="none" w:sz="0" w:space="0" w:color="auto"/>
        <w:left w:val="none" w:sz="0" w:space="0" w:color="auto"/>
        <w:bottom w:val="none" w:sz="0" w:space="0" w:color="auto"/>
        <w:right w:val="none" w:sz="0" w:space="0" w:color="auto"/>
      </w:divBdr>
    </w:div>
    <w:div w:id="1465352046">
      <w:bodyDiv w:val="1"/>
      <w:marLeft w:val="0"/>
      <w:marRight w:val="0"/>
      <w:marTop w:val="0"/>
      <w:marBottom w:val="0"/>
      <w:divBdr>
        <w:top w:val="none" w:sz="0" w:space="0" w:color="auto"/>
        <w:left w:val="none" w:sz="0" w:space="0" w:color="auto"/>
        <w:bottom w:val="none" w:sz="0" w:space="0" w:color="auto"/>
        <w:right w:val="none" w:sz="0" w:space="0" w:color="auto"/>
      </w:divBdr>
    </w:div>
    <w:div w:id="1488477713">
      <w:bodyDiv w:val="1"/>
      <w:marLeft w:val="0"/>
      <w:marRight w:val="0"/>
      <w:marTop w:val="0"/>
      <w:marBottom w:val="0"/>
      <w:divBdr>
        <w:top w:val="none" w:sz="0" w:space="0" w:color="auto"/>
        <w:left w:val="none" w:sz="0" w:space="0" w:color="auto"/>
        <w:bottom w:val="none" w:sz="0" w:space="0" w:color="auto"/>
        <w:right w:val="none" w:sz="0" w:space="0" w:color="auto"/>
      </w:divBdr>
    </w:div>
    <w:div w:id="1565094936">
      <w:bodyDiv w:val="1"/>
      <w:marLeft w:val="0"/>
      <w:marRight w:val="0"/>
      <w:marTop w:val="0"/>
      <w:marBottom w:val="0"/>
      <w:divBdr>
        <w:top w:val="none" w:sz="0" w:space="0" w:color="auto"/>
        <w:left w:val="none" w:sz="0" w:space="0" w:color="auto"/>
        <w:bottom w:val="none" w:sz="0" w:space="0" w:color="auto"/>
        <w:right w:val="none" w:sz="0" w:space="0" w:color="auto"/>
      </w:divBdr>
    </w:div>
    <w:div w:id="1592540816">
      <w:bodyDiv w:val="1"/>
      <w:marLeft w:val="0"/>
      <w:marRight w:val="0"/>
      <w:marTop w:val="0"/>
      <w:marBottom w:val="0"/>
      <w:divBdr>
        <w:top w:val="none" w:sz="0" w:space="0" w:color="auto"/>
        <w:left w:val="none" w:sz="0" w:space="0" w:color="auto"/>
        <w:bottom w:val="none" w:sz="0" w:space="0" w:color="auto"/>
        <w:right w:val="none" w:sz="0" w:space="0" w:color="auto"/>
      </w:divBdr>
    </w:div>
    <w:div w:id="1598178447">
      <w:bodyDiv w:val="1"/>
      <w:marLeft w:val="0"/>
      <w:marRight w:val="0"/>
      <w:marTop w:val="0"/>
      <w:marBottom w:val="0"/>
      <w:divBdr>
        <w:top w:val="none" w:sz="0" w:space="0" w:color="auto"/>
        <w:left w:val="none" w:sz="0" w:space="0" w:color="auto"/>
        <w:bottom w:val="none" w:sz="0" w:space="0" w:color="auto"/>
        <w:right w:val="none" w:sz="0" w:space="0" w:color="auto"/>
      </w:divBdr>
    </w:div>
    <w:div w:id="1617522496">
      <w:bodyDiv w:val="1"/>
      <w:marLeft w:val="0"/>
      <w:marRight w:val="0"/>
      <w:marTop w:val="0"/>
      <w:marBottom w:val="0"/>
      <w:divBdr>
        <w:top w:val="none" w:sz="0" w:space="0" w:color="auto"/>
        <w:left w:val="none" w:sz="0" w:space="0" w:color="auto"/>
        <w:bottom w:val="none" w:sz="0" w:space="0" w:color="auto"/>
        <w:right w:val="none" w:sz="0" w:space="0" w:color="auto"/>
      </w:divBdr>
    </w:div>
    <w:div w:id="1651448294">
      <w:bodyDiv w:val="1"/>
      <w:marLeft w:val="0"/>
      <w:marRight w:val="0"/>
      <w:marTop w:val="0"/>
      <w:marBottom w:val="0"/>
      <w:divBdr>
        <w:top w:val="none" w:sz="0" w:space="0" w:color="auto"/>
        <w:left w:val="none" w:sz="0" w:space="0" w:color="auto"/>
        <w:bottom w:val="none" w:sz="0" w:space="0" w:color="auto"/>
        <w:right w:val="none" w:sz="0" w:space="0" w:color="auto"/>
      </w:divBdr>
    </w:div>
    <w:div w:id="1653288363">
      <w:bodyDiv w:val="1"/>
      <w:marLeft w:val="0"/>
      <w:marRight w:val="0"/>
      <w:marTop w:val="0"/>
      <w:marBottom w:val="0"/>
      <w:divBdr>
        <w:top w:val="none" w:sz="0" w:space="0" w:color="auto"/>
        <w:left w:val="none" w:sz="0" w:space="0" w:color="auto"/>
        <w:bottom w:val="none" w:sz="0" w:space="0" w:color="auto"/>
        <w:right w:val="none" w:sz="0" w:space="0" w:color="auto"/>
      </w:divBdr>
    </w:div>
    <w:div w:id="1736508406">
      <w:bodyDiv w:val="1"/>
      <w:marLeft w:val="0"/>
      <w:marRight w:val="0"/>
      <w:marTop w:val="0"/>
      <w:marBottom w:val="0"/>
      <w:divBdr>
        <w:top w:val="none" w:sz="0" w:space="0" w:color="auto"/>
        <w:left w:val="none" w:sz="0" w:space="0" w:color="auto"/>
        <w:bottom w:val="none" w:sz="0" w:space="0" w:color="auto"/>
        <w:right w:val="none" w:sz="0" w:space="0" w:color="auto"/>
      </w:divBdr>
    </w:div>
    <w:div w:id="1813936671">
      <w:bodyDiv w:val="1"/>
      <w:marLeft w:val="0"/>
      <w:marRight w:val="0"/>
      <w:marTop w:val="0"/>
      <w:marBottom w:val="0"/>
      <w:divBdr>
        <w:top w:val="none" w:sz="0" w:space="0" w:color="auto"/>
        <w:left w:val="none" w:sz="0" w:space="0" w:color="auto"/>
        <w:bottom w:val="none" w:sz="0" w:space="0" w:color="auto"/>
        <w:right w:val="none" w:sz="0" w:space="0" w:color="auto"/>
      </w:divBdr>
    </w:div>
    <w:div w:id="1820994991">
      <w:bodyDiv w:val="1"/>
      <w:marLeft w:val="0"/>
      <w:marRight w:val="0"/>
      <w:marTop w:val="0"/>
      <w:marBottom w:val="0"/>
      <w:divBdr>
        <w:top w:val="none" w:sz="0" w:space="0" w:color="auto"/>
        <w:left w:val="none" w:sz="0" w:space="0" w:color="auto"/>
        <w:bottom w:val="none" w:sz="0" w:space="0" w:color="auto"/>
        <w:right w:val="none" w:sz="0" w:space="0" w:color="auto"/>
      </w:divBdr>
    </w:div>
    <w:div w:id="1824882535">
      <w:bodyDiv w:val="1"/>
      <w:marLeft w:val="0"/>
      <w:marRight w:val="0"/>
      <w:marTop w:val="0"/>
      <w:marBottom w:val="0"/>
      <w:divBdr>
        <w:top w:val="none" w:sz="0" w:space="0" w:color="auto"/>
        <w:left w:val="none" w:sz="0" w:space="0" w:color="auto"/>
        <w:bottom w:val="none" w:sz="0" w:space="0" w:color="auto"/>
        <w:right w:val="none" w:sz="0" w:space="0" w:color="auto"/>
      </w:divBdr>
    </w:div>
    <w:div w:id="1859081321">
      <w:bodyDiv w:val="1"/>
      <w:marLeft w:val="0"/>
      <w:marRight w:val="0"/>
      <w:marTop w:val="0"/>
      <w:marBottom w:val="0"/>
      <w:divBdr>
        <w:top w:val="none" w:sz="0" w:space="0" w:color="auto"/>
        <w:left w:val="none" w:sz="0" w:space="0" w:color="auto"/>
        <w:bottom w:val="none" w:sz="0" w:space="0" w:color="auto"/>
        <w:right w:val="none" w:sz="0" w:space="0" w:color="auto"/>
      </w:divBdr>
    </w:div>
    <w:div w:id="1936132087">
      <w:bodyDiv w:val="1"/>
      <w:marLeft w:val="0"/>
      <w:marRight w:val="0"/>
      <w:marTop w:val="0"/>
      <w:marBottom w:val="0"/>
      <w:divBdr>
        <w:top w:val="none" w:sz="0" w:space="0" w:color="auto"/>
        <w:left w:val="none" w:sz="0" w:space="0" w:color="auto"/>
        <w:bottom w:val="none" w:sz="0" w:space="0" w:color="auto"/>
        <w:right w:val="none" w:sz="0" w:space="0" w:color="auto"/>
      </w:divBdr>
    </w:div>
    <w:div w:id="1990943289">
      <w:bodyDiv w:val="1"/>
      <w:marLeft w:val="0"/>
      <w:marRight w:val="0"/>
      <w:marTop w:val="0"/>
      <w:marBottom w:val="0"/>
      <w:divBdr>
        <w:top w:val="none" w:sz="0" w:space="0" w:color="auto"/>
        <w:left w:val="none" w:sz="0" w:space="0" w:color="auto"/>
        <w:bottom w:val="none" w:sz="0" w:space="0" w:color="auto"/>
        <w:right w:val="none" w:sz="0" w:space="0" w:color="auto"/>
      </w:divBdr>
    </w:div>
    <w:div w:id="2044019449">
      <w:bodyDiv w:val="1"/>
      <w:marLeft w:val="0"/>
      <w:marRight w:val="0"/>
      <w:marTop w:val="0"/>
      <w:marBottom w:val="0"/>
      <w:divBdr>
        <w:top w:val="none" w:sz="0" w:space="0" w:color="auto"/>
        <w:left w:val="none" w:sz="0" w:space="0" w:color="auto"/>
        <w:bottom w:val="none" w:sz="0" w:space="0" w:color="auto"/>
        <w:right w:val="none" w:sz="0" w:space="0" w:color="auto"/>
      </w:divBdr>
    </w:div>
    <w:div w:id="2056539584">
      <w:bodyDiv w:val="1"/>
      <w:marLeft w:val="0"/>
      <w:marRight w:val="0"/>
      <w:marTop w:val="0"/>
      <w:marBottom w:val="0"/>
      <w:divBdr>
        <w:top w:val="none" w:sz="0" w:space="0" w:color="auto"/>
        <w:left w:val="none" w:sz="0" w:space="0" w:color="auto"/>
        <w:bottom w:val="none" w:sz="0" w:space="0" w:color="auto"/>
        <w:right w:val="none" w:sz="0" w:space="0" w:color="auto"/>
      </w:divBdr>
    </w:div>
    <w:div w:id="2095275951">
      <w:bodyDiv w:val="1"/>
      <w:marLeft w:val="0"/>
      <w:marRight w:val="0"/>
      <w:marTop w:val="0"/>
      <w:marBottom w:val="0"/>
      <w:divBdr>
        <w:top w:val="none" w:sz="0" w:space="0" w:color="auto"/>
        <w:left w:val="none" w:sz="0" w:space="0" w:color="auto"/>
        <w:bottom w:val="none" w:sz="0" w:space="0" w:color="auto"/>
        <w:right w:val="none" w:sz="0" w:space="0" w:color="auto"/>
      </w:divBdr>
    </w:div>
    <w:div w:id="2145006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Ale25</b:Tag>
    <b:SourceType>InternetSite</b:SourceType>
    <b:Guid>{47878855-A26B-4FFB-A3F7-1AC4ABA77F3F}</b:Guid>
    <b:Author>
      <b:Author>
        <b:NameList>
          <b:Person>
            <b:Last>Nelson</b:Last>
            <b:First>Alexander</b:First>
          </b:Person>
          <b:Person>
            <b:Last>Rekhi</b:Last>
            <b:First>Sanjay</b:First>
          </b:Person>
          <b:Person>
            <b:Last>Scarfone</b:Last>
            <b:First>Karen </b:First>
          </b:Person>
          <b:Person>
            <b:Last>Souppaya</b:Last>
            <b:First>Murugiah </b:First>
          </b:Person>
        </b:NameList>
      </b:Author>
    </b:Author>
    <b:Title>Incident Response Recommendations and Considerations for Cybersecurity Risk Management: A CSF 2.0 Community Profile</b:Title>
    <b:Year>2025</b:Year>
    <b:InternetSiteTitle>NIST</b:InternetSiteTitle>
    <b:Month>April</b:Month>
    <b:Day>3</b:Day>
    <b:URL>https://www.nist.gov/publications/incident-response-recommendations-and-considerations-cybersecurity-risk-management-csf</b:URL>
    <b:RefOrder>4</b:RefOrder>
  </b:Source>
  <b:Source>
    <b:Tag>Wes</b:Tag>
    <b:SourceType>Report</b:SourceType>
    <b:Guid>{F6E8E186-4812-43F4-B86F-B286B86FA8A9}</b:Guid>
    <b:Title>C845 Task 2: Incident and Network Security Artifacts</b:Title>
    <b:Author>
      <b:Author>
        <b:Corporate>Western Governors University</b:Corporate>
      </b:Author>
    </b:Author>
    <b:Institution>Western Governors University</b:Institution>
    <b:RefOrder>1</b:RefOrder>
  </b:Source>
  <b:Source>
    <b:Tag>Sca07</b:Tag>
    <b:SourceType>Report</b:SourceType>
    <b:Guid>{2747D79C-2853-4E9F-B06D-27525F3D73C5}</b:Guid>
    <b:Author>
      <b:Author>
        <b:NameList>
          <b:Person>
            <b:Last>Scarfone</b:Last>
            <b:First>Karen</b:First>
          </b:Person>
          <b:Person>
            <b:Last>Mell</b:Last>
            <b:First>Peter</b:First>
          </b:Person>
        </b:NameList>
      </b:Author>
    </b:Author>
    <b:Title>Guide to Intrusion Detection and Prevention Systems (IDPS)</b:Title>
    <b:Year>2007</b:Year>
    <b:Institution>National Institute of Standards and Technology</b:Institution>
    <b:StandardNumber>NIST Special Publication 800-94</b:StandardNumber>
    <b:URL>https://doi.org/10.6028/NIST.SP.800-94</b:URL>
    <b:DOI>10.6028/NIST.SP.800-94</b:DOI>
    <b:RefOrder>2</b:RefOrder>
  </b:Source>
  <b:Source>
    <b:Tag>Sca09</b:Tag>
    <b:SourceType>Report</b:SourceType>
    <b:Guid>{D804F62F-D93D-40F9-8AF9-3C88C29257DE}</b:Guid>
    <b:Author>
      <b:Author>
        <b:NameList>
          <b:Person>
            <b:Last>Scarfone</b:Last>
            <b:First>Karen</b:First>
          </b:Person>
          <b:Person>
            <b:Last>Hoffman</b:Last>
            <b:First>Paul</b:First>
          </b:Person>
        </b:NameList>
      </b:Author>
    </b:Author>
    <b:Title>Guidelines on Firewalls and Firewall Policy</b:Title>
    <b:Year>2009</b:Year>
    <b:Institution>National Institute of Standards and Technology</b:Institution>
    <b:URL>https://doi.org/10.6028/NIST.SP.800-41r1</b:URL>
    <b:DOI>10.6028/NIST.SP.800-41r1</b:DOI>
    <b:RefOrder>3</b:RefOrder>
  </b:Source>
</b:Sources>
</file>

<file path=customXml/itemProps1.xml><?xml version="1.0" encoding="utf-8"?>
<ds:datastoreItem xmlns:ds="http://schemas.openxmlformats.org/officeDocument/2006/customXml" ds:itemID="{B18CC82C-950C-43ED-AA78-E388028897EA}">
  <ds:schemaRefs>
    <ds:schemaRef ds:uri="http://schemas.openxmlformats.org/officeDocument/2006/bibliography"/>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69</TotalTime>
  <Pages>12</Pages>
  <Words>2792</Words>
  <Characters>15915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Dontrell Wilson</dc:creator>
  <cp:keywords/>
  <dc:description/>
  <cp:lastModifiedBy>Dontrell Wilson</cp:lastModifiedBy>
  <cp:revision>50</cp:revision>
  <dcterms:created xsi:type="dcterms:W3CDTF">2026-07-12T04:43:00Z</dcterms:created>
  <dcterms:modified xsi:type="dcterms:W3CDTF">2026-07-12T06:11:00Z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48fd0841-331d-47b5-91a2-69b84dad37b4</vt:lpwstr>
  </property>
</Properties>
</file>