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518E" w14:textId="77777777" w:rsidR="003E7A14" w:rsidRDefault="003E7A14" w:rsidP="003E7A14">
      <w:pPr>
        <w:spacing w:before="960" w:after="960" w:line="240" w:lineRule="auto"/>
        <w:jc w:val="center"/>
        <w:rPr>
          <w:b/>
          <w:bCs/>
          <w:sz w:val="36"/>
          <w:szCs w:val="36"/>
        </w:rPr>
      </w:pPr>
      <w:r w:rsidRPr="003E7A14">
        <w:rPr>
          <w:b/>
          <w:bCs/>
          <w:sz w:val="36"/>
          <w:szCs w:val="36"/>
        </w:rPr>
        <w:t>GlobalBiz Solutions Inc.</w:t>
      </w:r>
      <w:r>
        <w:rPr>
          <w:b/>
          <w:bCs/>
          <w:sz w:val="36"/>
          <w:szCs w:val="36"/>
        </w:rPr>
        <w:t xml:space="preserve"> </w:t>
      </w:r>
    </w:p>
    <w:p w14:paraId="3CC6BBFD" w14:textId="26249AA4" w:rsidR="003E7A14" w:rsidRPr="003E7A14" w:rsidRDefault="003E7A14" w:rsidP="003E7A14">
      <w:pPr>
        <w:spacing w:before="960" w:after="960" w:line="240" w:lineRule="auto"/>
        <w:jc w:val="center"/>
        <w:rPr>
          <w:b/>
          <w:bCs/>
          <w:sz w:val="36"/>
          <w:szCs w:val="36"/>
        </w:rPr>
      </w:pPr>
      <w:r w:rsidRPr="003E7A14">
        <w:rPr>
          <w:b/>
          <w:bCs/>
          <w:sz w:val="36"/>
          <w:szCs w:val="36"/>
        </w:rPr>
        <w:t>Incident Response Plan Recommendations</w:t>
      </w:r>
    </w:p>
    <w:p w14:paraId="44BC3CB0" w14:textId="77777777" w:rsidR="003E7A14" w:rsidRDefault="003E7A14" w:rsidP="003E7A14">
      <w:pPr>
        <w:spacing w:before="960" w:after="960" w:line="240" w:lineRule="auto"/>
        <w:jc w:val="center"/>
      </w:pPr>
      <w:r>
        <w:t>Dontrell Wilson</w:t>
      </w:r>
    </w:p>
    <w:p w14:paraId="0471003C" w14:textId="77777777" w:rsidR="003E7A14" w:rsidRDefault="003E7A14" w:rsidP="003E7A14">
      <w:pPr>
        <w:spacing w:before="960" w:after="960" w:line="240" w:lineRule="auto"/>
        <w:jc w:val="center"/>
        <w:rPr>
          <w:b/>
          <w:bCs/>
        </w:rPr>
      </w:pPr>
      <w:r w:rsidRPr="005C2F8A">
        <w:rPr>
          <w:b/>
          <w:bCs/>
        </w:rPr>
        <w:t>Course</w:t>
      </w:r>
      <w:r w:rsidRPr="00AD082B">
        <w:t xml:space="preserve">: </w:t>
      </w:r>
      <w:r>
        <w:t>D832—</w:t>
      </w:r>
      <w:r w:rsidRPr="00800966">
        <w:t>Managing Information Security</w:t>
      </w:r>
      <w:r w:rsidRPr="00800966">
        <w:rPr>
          <w:b/>
          <w:bCs/>
        </w:rPr>
        <w:t> </w:t>
      </w:r>
    </w:p>
    <w:p w14:paraId="7E22BE88" w14:textId="77777777" w:rsidR="003E7A14" w:rsidRPr="00AD082B" w:rsidRDefault="003E7A14" w:rsidP="003E7A14">
      <w:pPr>
        <w:spacing w:before="960" w:after="960" w:line="240" w:lineRule="auto"/>
        <w:jc w:val="center"/>
      </w:pPr>
      <w:r w:rsidRPr="005C2F8A">
        <w:rPr>
          <w:b/>
          <w:bCs/>
        </w:rPr>
        <w:t>WGU Student ID</w:t>
      </w:r>
      <w:r w:rsidRPr="00AD082B">
        <w:t xml:space="preserve">: </w:t>
      </w:r>
      <w:r>
        <w:t>012396902</w:t>
      </w:r>
    </w:p>
    <w:p w14:paraId="15F46537" w14:textId="3EF7B540" w:rsidR="003E7A14" w:rsidRPr="00AD082B" w:rsidRDefault="003E7A14" w:rsidP="003E7A14">
      <w:pPr>
        <w:spacing w:before="960" w:after="960" w:line="240" w:lineRule="auto"/>
        <w:jc w:val="center"/>
      </w:pPr>
      <w:r w:rsidRPr="005C2F8A">
        <w:rPr>
          <w:b/>
          <w:bCs/>
        </w:rPr>
        <w:t>Date</w:t>
      </w:r>
      <w:r w:rsidRPr="00AD082B">
        <w:t xml:space="preserve">: </w:t>
      </w:r>
      <w:r>
        <w:t>July 1</w:t>
      </w:r>
      <w:r w:rsidR="00B57E22">
        <w:t>4</w:t>
      </w:r>
      <w:r>
        <w:t>, 2026</w:t>
      </w:r>
    </w:p>
    <w:p w14:paraId="5BDBA18E" w14:textId="36B84299" w:rsidR="003E7A14" w:rsidRPr="003A183F" w:rsidRDefault="003E7A14" w:rsidP="003E7A14">
      <w:pPr>
        <w:spacing w:before="960" w:after="960" w:line="240" w:lineRule="auto"/>
        <w:jc w:val="center"/>
      </w:pPr>
      <w:r>
        <w:rPr>
          <w:b/>
          <w:bCs/>
        </w:rPr>
        <w:t>Task 2</w:t>
      </w:r>
      <w:r w:rsidRPr="00AD082B">
        <w:t xml:space="preserve">: </w:t>
      </w:r>
      <w:r w:rsidRPr="003E7A14">
        <w:t>Develops Security Incident Response Plans</w:t>
      </w:r>
      <w:r>
        <w:t>.</w:t>
      </w:r>
    </w:p>
    <w:p w14:paraId="13D1B5BB" w14:textId="4390D71C" w:rsidR="003E7A14" w:rsidRDefault="005A2F86" w:rsidP="003E7A14">
      <w:pPr>
        <w:spacing w:before="1440" w:after="960" w:line="240" w:lineRule="auto"/>
        <w:jc w:val="center"/>
        <w:rPr>
          <w:sz w:val="20"/>
          <w:szCs w:val="20"/>
        </w:rPr>
      </w:pPr>
      <w:r>
        <w:rPr>
          <w:sz w:val="20"/>
          <w:szCs w:val="20"/>
        </w:rPr>
        <w:t>P</w:t>
      </w:r>
      <w:r w:rsidRPr="003A183F">
        <w:rPr>
          <w:sz w:val="20"/>
          <w:szCs w:val="20"/>
        </w:rPr>
        <w:t>repared for</w:t>
      </w:r>
      <w:r>
        <w:rPr>
          <w:sz w:val="20"/>
          <w:szCs w:val="20"/>
        </w:rPr>
        <w:t xml:space="preserve"> Senior Leadership as a part of</w:t>
      </w:r>
      <w:r w:rsidRPr="003A183F">
        <w:rPr>
          <w:sz w:val="20"/>
          <w:szCs w:val="20"/>
        </w:rPr>
        <w:t xml:space="preserve"> </w:t>
      </w:r>
      <w:r w:rsidR="003E7A14" w:rsidRPr="003A183F">
        <w:rPr>
          <w:sz w:val="20"/>
          <w:szCs w:val="20"/>
        </w:rPr>
        <w:t>the</w:t>
      </w:r>
      <w:r w:rsidR="003E7A14" w:rsidRPr="00915C30">
        <w:rPr>
          <w:sz w:val="20"/>
          <w:szCs w:val="20"/>
        </w:rPr>
        <w:t xml:space="preserve"> </w:t>
      </w:r>
      <w:r w:rsidR="003E7A14">
        <w:rPr>
          <w:sz w:val="20"/>
          <w:szCs w:val="20"/>
        </w:rPr>
        <w:t>D832</w:t>
      </w:r>
      <w:r w:rsidR="003E7A14" w:rsidRPr="00915C30">
        <w:rPr>
          <w:sz w:val="20"/>
          <w:szCs w:val="20"/>
        </w:rPr>
        <w:t xml:space="preserve"> </w:t>
      </w:r>
      <w:r w:rsidR="003E7A14">
        <w:rPr>
          <w:sz w:val="20"/>
          <w:szCs w:val="20"/>
        </w:rPr>
        <w:t xml:space="preserve">Managing </w:t>
      </w:r>
      <w:r w:rsidR="003E7A14" w:rsidRPr="00915C30">
        <w:rPr>
          <w:sz w:val="20"/>
          <w:szCs w:val="20"/>
        </w:rPr>
        <w:t xml:space="preserve">Information Security </w:t>
      </w:r>
      <w:r w:rsidR="003E7A14">
        <w:rPr>
          <w:sz w:val="20"/>
          <w:szCs w:val="20"/>
        </w:rPr>
        <w:t>P</w:t>
      </w:r>
      <w:r w:rsidR="003E7A14" w:rsidRPr="00915C30">
        <w:rPr>
          <w:sz w:val="20"/>
          <w:szCs w:val="20"/>
        </w:rPr>
        <w:t xml:space="preserve">erformance </w:t>
      </w:r>
      <w:r w:rsidR="003E7A14">
        <w:rPr>
          <w:sz w:val="20"/>
          <w:szCs w:val="20"/>
        </w:rPr>
        <w:t>A</w:t>
      </w:r>
      <w:r w:rsidR="003E7A14" w:rsidRPr="00915C30">
        <w:rPr>
          <w:sz w:val="20"/>
          <w:szCs w:val="20"/>
        </w:rPr>
        <w:t>ssessment</w:t>
      </w:r>
      <w:r w:rsidR="003E7A14">
        <w:rPr>
          <w:sz w:val="20"/>
          <w:szCs w:val="20"/>
        </w:rPr>
        <w:t>.</w:t>
      </w:r>
    </w:p>
    <w:p w14:paraId="31268CD3" w14:textId="69BD3856" w:rsidR="00960D56" w:rsidRDefault="00960D56">
      <w:r>
        <w:br w:type="page"/>
      </w:r>
    </w:p>
    <w:p w14:paraId="06B54756" w14:textId="7EA31ED2" w:rsidR="00991097" w:rsidRDefault="00814542" w:rsidP="000112CE">
      <w:pPr>
        <w:spacing w:before="240" w:after="120" w:line="240" w:lineRule="auto"/>
        <w:jc w:val="center"/>
        <w:rPr>
          <w:b/>
          <w:bCs/>
          <w:sz w:val="32"/>
          <w:szCs w:val="32"/>
        </w:rPr>
      </w:pPr>
      <w:r w:rsidRPr="003751C6">
        <w:rPr>
          <w:b/>
          <w:bCs/>
          <w:sz w:val="32"/>
          <w:szCs w:val="32"/>
        </w:rPr>
        <w:lastRenderedPageBreak/>
        <w:t>Table of Contents</w:t>
      </w:r>
    </w:p>
    <w:p w14:paraId="5A4C42A6" w14:textId="09FCFADF" w:rsidR="00824E37" w:rsidRDefault="007D0E50">
      <w:pPr>
        <w:pStyle w:val="TOC1"/>
        <w:tabs>
          <w:tab w:val="right" w:leader="dot" w:pos="9350"/>
        </w:tabs>
        <w:rPr>
          <w:rFonts w:asciiTheme="minorHAnsi" w:eastAsiaTheme="minorEastAsia" w:hAnsiTheme="minorHAnsi" w:cstheme="minorBidi"/>
          <w:noProof/>
          <w:sz w:val="24"/>
        </w:rPr>
      </w:pPr>
      <w:r>
        <w:rPr>
          <w:b/>
          <w:bCs/>
          <w:sz w:val="32"/>
          <w:szCs w:val="32"/>
        </w:rPr>
        <w:fldChar w:fldCharType="begin"/>
      </w:r>
      <w:r>
        <w:rPr>
          <w:b/>
          <w:bCs/>
          <w:sz w:val="32"/>
          <w:szCs w:val="32"/>
        </w:rPr>
        <w:instrText xml:space="preserve"> TOC \o "1-2" \h \z \u </w:instrText>
      </w:r>
      <w:r>
        <w:rPr>
          <w:b/>
          <w:bCs/>
          <w:sz w:val="32"/>
          <w:szCs w:val="32"/>
        </w:rPr>
        <w:fldChar w:fldCharType="separate"/>
      </w:r>
      <w:hyperlink w:anchor="_Toc234889393" w:history="1">
        <w:r w:rsidR="00824E37" w:rsidRPr="00A222DF">
          <w:rPr>
            <w:rStyle w:val="Hyperlink"/>
            <w:b/>
            <w:bCs/>
            <w:noProof/>
          </w:rPr>
          <w:t>Executive Summary</w:t>
        </w:r>
        <w:r w:rsidR="00824E37">
          <w:rPr>
            <w:noProof/>
            <w:webHidden/>
          </w:rPr>
          <w:tab/>
        </w:r>
        <w:r w:rsidR="00824E37">
          <w:rPr>
            <w:noProof/>
            <w:webHidden/>
          </w:rPr>
          <w:fldChar w:fldCharType="begin"/>
        </w:r>
        <w:r w:rsidR="00824E37">
          <w:rPr>
            <w:noProof/>
            <w:webHidden/>
          </w:rPr>
          <w:instrText xml:space="preserve"> PAGEREF _Toc234889393 \h </w:instrText>
        </w:r>
        <w:r w:rsidR="00824E37">
          <w:rPr>
            <w:noProof/>
            <w:webHidden/>
          </w:rPr>
        </w:r>
        <w:r w:rsidR="00824E37">
          <w:rPr>
            <w:noProof/>
            <w:webHidden/>
          </w:rPr>
          <w:fldChar w:fldCharType="separate"/>
        </w:r>
        <w:r w:rsidR="00824E37">
          <w:rPr>
            <w:noProof/>
            <w:webHidden/>
          </w:rPr>
          <w:t>3</w:t>
        </w:r>
        <w:r w:rsidR="00824E37">
          <w:rPr>
            <w:noProof/>
            <w:webHidden/>
          </w:rPr>
          <w:fldChar w:fldCharType="end"/>
        </w:r>
      </w:hyperlink>
    </w:p>
    <w:p w14:paraId="3AA5B02C" w14:textId="3B4CD630" w:rsidR="00824E37" w:rsidRDefault="00824E37" w:rsidP="00B21301">
      <w:pPr>
        <w:pStyle w:val="TOC1"/>
        <w:numPr>
          <w:ilvl w:val="0"/>
          <w:numId w:val="8"/>
        </w:numPr>
        <w:tabs>
          <w:tab w:val="left" w:pos="720"/>
          <w:tab w:val="right" w:leader="dot" w:pos="9350"/>
        </w:tabs>
        <w:ind w:left="360"/>
        <w:rPr>
          <w:rFonts w:asciiTheme="minorHAnsi" w:eastAsiaTheme="minorEastAsia" w:hAnsiTheme="minorHAnsi" w:cstheme="minorBidi"/>
          <w:noProof/>
          <w:sz w:val="24"/>
        </w:rPr>
      </w:pPr>
      <w:hyperlink w:anchor="_Toc234889394" w:history="1">
        <w:r w:rsidRPr="00A222DF">
          <w:rPr>
            <w:rStyle w:val="Hyperlink"/>
            <w:b/>
            <w:bCs/>
            <w:noProof/>
          </w:rPr>
          <w:t>Incident Response Plan Recommendations</w:t>
        </w:r>
        <w:r>
          <w:rPr>
            <w:noProof/>
            <w:webHidden/>
          </w:rPr>
          <w:tab/>
        </w:r>
        <w:r>
          <w:rPr>
            <w:noProof/>
            <w:webHidden/>
          </w:rPr>
          <w:fldChar w:fldCharType="begin"/>
        </w:r>
        <w:r>
          <w:rPr>
            <w:noProof/>
            <w:webHidden/>
          </w:rPr>
          <w:instrText xml:space="preserve"> PAGEREF _Toc234889394 \h </w:instrText>
        </w:r>
        <w:r>
          <w:rPr>
            <w:noProof/>
            <w:webHidden/>
          </w:rPr>
        </w:r>
        <w:r>
          <w:rPr>
            <w:noProof/>
            <w:webHidden/>
          </w:rPr>
          <w:fldChar w:fldCharType="separate"/>
        </w:r>
        <w:r>
          <w:rPr>
            <w:noProof/>
            <w:webHidden/>
          </w:rPr>
          <w:t>3</w:t>
        </w:r>
        <w:r>
          <w:rPr>
            <w:noProof/>
            <w:webHidden/>
          </w:rPr>
          <w:fldChar w:fldCharType="end"/>
        </w:r>
      </w:hyperlink>
    </w:p>
    <w:p w14:paraId="016467F9" w14:textId="2E0D4F93" w:rsidR="00824E37" w:rsidRDefault="00824E37">
      <w:pPr>
        <w:pStyle w:val="TOC2"/>
        <w:tabs>
          <w:tab w:val="right" w:leader="dot" w:pos="9350"/>
        </w:tabs>
        <w:rPr>
          <w:rFonts w:asciiTheme="minorHAnsi" w:eastAsiaTheme="minorEastAsia" w:hAnsiTheme="minorHAnsi" w:cstheme="minorBidi"/>
          <w:noProof/>
          <w:sz w:val="24"/>
        </w:rPr>
      </w:pPr>
      <w:hyperlink w:anchor="_Toc234889395" w:history="1">
        <w:r w:rsidRPr="00A222DF">
          <w:rPr>
            <w:rStyle w:val="Hyperlink"/>
            <w:b/>
            <w:bCs/>
            <w:noProof/>
          </w:rPr>
          <w:t>A1. Organization and Cybersecurity Incidents or Events</w:t>
        </w:r>
        <w:r>
          <w:rPr>
            <w:noProof/>
            <w:webHidden/>
          </w:rPr>
          <w:tab/>
        </w:r>
        <w:r>
          <w:rPr>
            <w:noProof/>
            <w:webHidden/>
          </w:rPr>
          <w:fldChar w:fldCharType="begin"/>
        </w:r>
        <w:r>
          <w:rPr>
            <w:noProof/>
            <w:webHidden/>
          </w:rPr>
          <w:instrText xml:space="preserve"> PAGEREF _Toc234889395 \h </w:instrText>
        </w:r>
        <w:r>
          <w:rPr>
            <w:noProof/>
            <w:webHidden/>
          </w:rPr>
        </w:r>
        <w:r>
          <w:rPr>
            <w:noProof/>
            <w:webHidden/>
          </w:rPr>
          <w:fldChar w:fldCharType="separate"/>
        </w:r>
        <w:r>
          <w:rPr>
            <w:noProof/>
            <w:webHidden/>
          </w:rPr>
          <w:t>3</w:t>
        </w:r>
        <w:r>
          <w:rPr>
            <w:noProof/>
            <w:webHidden/>
          </w:rPr>
          <w:fldChar w:fldCharType="end"/>
        </w:r>
      </w:hyperlink>
    </w:p>
    <w:p w14:paraId="03F562B9" w14:textId="0D02AD55" w:rsidR="00824E37" w:rsidRDefault="00824E37">
      <w:pPr>
        <w:pStyle w:val="TOC2"/>
        <w:tabs>
          <w:tab w:val="right" w:leader="dot" w:pos="9350"/>
        </w:tabs>
        <w:rPr>
          <w:rFonts w:asciiTheme="minorHAnsi" w:eastAsiaTheme="minorEastAsia" w:hAnsiTheme="minorHAnsi" w:cstheme="minorBidi"/>
          <w:noProof/>
          <w:sz w:val="24"/>
        </w:rPr>
      </w:pPr>
      <w:hyperlink w:anchor="_Toc234889396" w:history="1">
        <w:r w:rsidRPr="00A222DF">
          <w:rPr>
            <w:rStyle w:val="Hyperlink"/>
            <w:b/>
            <w:bCs/>
            <w:noProof/>
          </w:rPr>
          <w:t>A1a. Detection Recommendations</w:t>
        </w:r>
        <w:r>
          <w:rPr>
            <w:noProof/>
            <w:webHidden/>
          </w:rPr>
          <w:tab/>
        </w:r>
        <w:r>
          <w:rPr>
            <w:noProof/>
            <w:webHidden/>
          </w:rPr>
          <w:fldChar w:fldCharType="begin"/>
        </w:r>
        <w:r>
          <w:rPr>
            <w:noProof/>
            <w:webHidden/>
          </w:rPr>
          <w:instrText xml:space="preserve"> PAGEREF _Toc234889396 \h </w:instrText>
        </w:r>
        <w:r>
          <w:rPr>
            <w:noProof/>
            <w:webHidden/>
          </w:rPr>
        </w:r>
        <w:r>
          <w:rPr>
            <w:noProof/>
            <w:webHidden/>
          </w:rPr>
          <w:fldChar w:fldCharType="separate"/>
        </w:r>
        <w:r>
          <w:rPr>
            <w:noProof/>
            <w:webHidden/>
          </w:rPr>
          <w:t>4</w:t>
        </w:r>
        <w:r>
          <w:rPr>
            <w:noProof/>
            <w:webHidden/>
          </w:rPr>
          <w:fldChar w:fldCharType="end"/>
        </w:r>
      </w:hyperlink>
    </w:p>
    <w:p w14:paraId="77D90D93" w14:textId="008B3A0D" w:rsidR="00824E37" w:rsidRDefault="00824E37">
      <w:pPr>
        <w:pStyle w:val="TOC2"/>
        <w:tabs>
          <w:tab w:val="right" w:leader="dot" w:pos="9350"/>
        </w:tabs>
        <w:rPr>
          <w:rFonts w:asciiTheme="minorHAnsi" w:eastAsiaTheme="minorEastAsia" w:hAnsiTheme="minorHAnsi" w:cstheme="minorBidi"/>
          <w:noProof/>
          <w:sz w:val="24"/>
        </w:rPr>
      </w:pPr>
      <w:hyperlink w:anchor="_Toc234889397" w:history="1">
        <w:r w:rsidRPr="00A222DF">
          <w:rPr>
            <w:rStyle w:val="Hyperlink"/>
            <w:b/>
            <w:bCs/>
            <w:noProof/>
          </w:rPr>
          <w:t>A1b. Containment Recommendations</w:t>
        </w:r>
        <w:r>
          <w:rPr>
            <w:noProof/>
            <w:webHidden/>
          </w:rPr>
          <w:tab/>
        </w:r>
        <w:r>
          <w:rPr>
            <w:noProof/>
            <w:webHidden/>
          </w:rPr>
          <w:fldChar w:fldCharType="begin"/>
        </w:r>
        <w:r>
          <w:rPr>
            <w:noProof/>
            <w:webHidden/>
          </w:rPr>
          <w:instrText xml:space="preserve"> PAGEREF _Toc234889397 \h </w:instrText>
        </w:r>
        <w:r>
          <w:rPr>
            <w:noProof/>
            <w:webHidden/>
          </w:rPr>
        </w:r>
        <w:r>
          <w:rPr>
            <w:noProof/>
            <w:webHidden/>
          </w:rPr>
          <w:fldChar w:fldCharType="separate"/>
        </w:r>
        <w:r>
          <w:rPr>
            <w:noProof/>
            <w:webHidden/>
          </w:rPr>
          <w:t>5</w:t>
        </w:r>
        <w:r>
          <w:rPr>
            <w:noProof/>
            <w:webHidden/>
          </w:rPr>
          <w:fldChar w:fldCharType="end"/>
        </w:r>
      </w:hyperlink>
    </w:p>
    <w:p w14:paraId="5CEAB8D8" w14:textId="1747840F" w:rsidR="00824E37" w:rsidRDefault="00824E37">
      <w:pPr>
        <w:pStyle w:val="TOC2"/>
        <w:tabs>
          <w:tab w:val="right" w:leader="dot" w:pos="9350"/>
        </w:tabs>
        <w:rPr>
          <w:rFonts w:asciiTheme="minorHAnsi" w:eastAsiaTheme="minorEastAsia" w:hAnsiTheme="minorHAnsi" w:cstheme="minorBidi"/>
          <w:noProof/>
          <w:sz w:val="24"/>
        </w:rPr>
      </w:pPr>
      <w:hyperlink w:anchor="_Toc234889398" w:history="1">
        <w:r w:rsidRPr="00A222DF">
          <w:rPr>
            <w:rStyle w:val="Hyperlink"/>
            <w:b/>
            <w:bCs/>
            <w:noProof/>
          </w:rPr>
          <w:t>A1b(i). Alignment With GBS Security Goals</w:t>
        </w:r>
        <w:r>
          <w:rPr>
            <w:noProof/>
            <w:webHidden/>
          </w:rPr>
          <w:tab/>
        </w:r>
        <w:r>
          <w:rPr>
            <w:noProof/>
            <w:webHidden/>
          </w:rPr>
          <w:fldChar w:fldCharType="begin"/>
        </w:r>
        <w:r>
          <w:rPr>
            <w:noProof/>
            <w:webHidden/>
          </w:rPr>
          <w:instrText xml:space="preserve"> PAGEREF _Toc234889398 \h </w:instrText>
        </w:r>
        <w:r>
          <w:rPr>
            <w:noProof/>
            <w:webHidden/>
          </w:rPr>
        </w:r>
        <w:r>
          <w:rPr>
            <w:noProof/>
            <w:webHidden/>
          </w:rPr>
          <w:fldChar w:fldCharType="separate"/>
        </w:r>
        <w:r>
          <w:rPr>
            <w:noProof/>
            <w:webHidden/>
          </w:rPr>
          <w:t>6</w:t>
        </w:r>
        <w:r>
          <w:rPr>
            <w:noProof/>
            <w:webHidden/>
          </w:rPr>
          <w:fldChar w:fldCharType="end"/>
        </w:r>
      </w:hyperlink>
    </w:p>
    <w:p w14:paraId="33C21B66" w14:textId="39B44649" w:rsidR="00824E37" w:rsidRDefault="00824E37">
      <w:pPr>
        <w:pStyle w:val="TOC1"/>
        <w:tabs>
          <w:tab w:val="right" w:leader="dot" w:pos="9350"/>
        </w:tabs>
        <w:rPr>
          <w:rFonts w:asciiTheme="minorHAnsi" w:eastAsiaTheme="minorEastAsia" w:hAnsiTheme="minorHAnsi" w:cstheme="minorBidi"/>
          <w:noProof/>
          <w:sz w:val="24"/>
        </w:rPr>
      </w:pPr>
      <w:hyperlink w:anchor="_Toc234889399" w:history="1">
        <w:r w:rsidRPr="00A222DF">
          <w:rPr>
            <w:rStyle w:val="Hyperlink"/>
            <w:b/>
            <w:bCs/>
            <w:noProof/>
          </w:rPr>
          <w:t>A2. Incident Response Roles and Responsibilities</w:t>
        </w:r>
        <w:r>
          <w:rPr>
            <w:noProof/>
            <w:webHidden/>
          </w:rPr>
          <w:tab/>
        </w:r>
        <w:r>
          <w:rPr>
            <w:noProof/>
            <w:webHidden/>
          </w:rPr>
          <w:fldChar w:fldCharType="begin"/>
        </w:r>
        <w:r>
          <w:rPr>
            <w:noProof/>
            <w:webHidden/>
          </w:rPr>
          <w:instrText xml:space="preserve"> PAGEREF _Toc234889399 \h </w:instrText>
        </w:r>
        <w:r>
          <w:rPr>
            <w:noProof/>
            <w:webHidden/>
          </w:rPr>
        </w:r>
        <w:r>
          <w:rPr>
            <w:noProof/>
            <w:webHidden/>
          </w:rPr>
          <w:fldChar w:fldCharType="separate"/>
        </w:r>
        <w:r>
          <w:rPr>
            <w:noProof/>
            <w:webHidden/>
          </w:rPr>
          <w:t>7</w:t>
        </w:r>
        <w:r>
          <w:rPr>
            <w:noProof/>
            <w:webHidden/>
          </w:rPr>
          <w:fldChar w:fldCharType="end"/>
        </w:r>
      </w:hyperlink>
    </w:p>
    <w:p w14:paraId="38A1E53B" w14:textId="180E5476" w:rsidR="00824E37" w:rsidRDefault="00824E37">
      <w:pPr>
        <w:pStyle w:val="TOC2"/>
        <w:tabs>
          <w:tab w:val="right" w:leader="dot" w:pos="9350"/>
        </w:tabs>
        <w:rPr>
          <w:rFonts w:asciiTheme="minorHAnsi" w:eastAsiaTheme="minorEastAsia" w:hAnsiTheme="minorHAnsi" w:cstheme="minorBidi"/>
          <w:noProof/>
          <w:sz w:val="24"/>
        </w:rPr>
      </w:pPr>
      <w:hyperlink w:anchor="_Toc234889400" w:history="1">
        <w:r w:rsidRPr="00A222DF">
          <w:rPr>
            <w:rStyle w:val="Hyperlink"/>
            <w:b/>
            <w:bCs/>
            <w:noProof/>
          </w:rPr>
          <w:t>A2a. Maintaining Business Continuity</w:t>
        </w:r>
        <w:r>
          <w:rPr>
            <w:noProof/>
            <w:webHidden/>
          </w:rPr>
          <w:tab/>
        </w:r>
        <w:r>
          <w:rPr>
            <w:noProof/>
            <w:webHidden/>
          </w:rPr>
          <w:fldChar w:fldCharType="begin"/>
        </w:r>
        <w:r>
          <w:rPr>
            <w:noProof/>
            <w:webHidden/>
          </w:rPr>
          <w:instrText xml:space="preserve"> PAGEREF _Toc234889400 \h </w:instrText>
        </w:r>
        <w:r>
          <w:rPr>
            <w:noProof/>
            <w:webHidden/>
          </w:rPr>
        </w:r>
        <w:r>
          <w:rPr>
            <w:noProof/>
            <w:webHidden/>
          </w:rPr>
          <w:fldChar w:fldCharType="separate"/>
        </w:r>
        <w:r>
          <w:rPr>
            <w:noProof/>
            <w:webHidden/>
          </w:rPr>
          <w:t>7</w:t>
        </w:r>
        <w:r>
          <w:rPr>
            <w:noProof/>
            <w:webHidden/>
          </w:rPr>
          <w:fldChar w:fldCharType="end"/>
        </w:r>
      </w:hyperlink>
    </w:p>
    <w:p w14:paraId="35E3E5B8" w14:textId="1EFE6116" w:rsidR="00824E37" w:rsidRDefault="00824E37">
      <w:pPr>
        <w:pStyle w:val="TOC1"/>
        <w:tabs>
          <w:tab w:val="right" w:leader="dot" w:pos="9350"/>
        </w:tabs>
        <w:rPr>
          <w:rFonts w:asciiTheme="minorHAnsi" w:eastAsiaTheme="minorEastAsia" w:hAnsiTheme="minorHAnsi" w:cstheme="minorBidi"/>
          <w:noProof/>
          <w:sz w:val="24"/>
        </w:rPr>
      </w:pPr>
      <w:hyperlink w:anchor="_Toc234889401" w:history="1">
        <w:r w:rsidRPr="00A222DF">
          <w:rPr>
            <w:rStyle w:val="Hyperlink"/>
            <w:b/>
            <w:bCs/>
            <w:noProof/>
          </w:rPr>
          <w:t>A3. Incident Response Effectiveness Metric</w:t>
        </w:r>
        <w:r>
          <w:rPr>
            <w:noProof/>
            <w:webHidden/>
          </w:rPr>
          <w:tab/>
        </w:r>
        <w:r>
          <w:rPr>
            <w:noProof/>
            <w:webHidden/>
          </w:rPr>
          <w:fldChar w:fldCharType="begin"/>
        </w:r>
        <w:r>
          <w:rPr>
            <w:noProof/>
            <w:webHidden/>
          </w:rPr>
          <w:instrText xml:space="preserve"> PAGEREF _Toc234889401 \h </w:instrText>
        </w:r>
        <w:r>
          <w:rPr>
            <w:noProof/>
            <w:webHidden/>
          </w:rPr>
        </w:r>
        <w:r>
          <w:rPr>
            <w:noProof/>
            <w:webHidden/>
          </w:rPr>
          <w:fldChar w:fldCharType="separate"/>
        </w:r>
        <w:r>
          <w:rPr>
            <w:noProof/>
            <w:webHidden/>
          </w:rPr>
          <w:t>9</w:t>
        </w:r>
        <w:r>
          <w:rPr>
            <w:noProof/>
            <w:webHidden/>
          </w:rPr>
          <w:fldChar w:fldCharType="end"/>
        </w:r>
      </w:hyperlink>
    </w:p>
    <w:p w14:paraId="02F0A328" w14:textId="53F7040E" w:rsidR="00824E37" w:rsidRDefault="00824E37">
      <w:pPr>
        <w:pStyle w:val="TOC1"/>
        <w:tabs>
          <w:tab w:val="right" w:leader="dot" w:pos="9350"/>
        </w:tabs>
        <w:rPr>
          <w:rFonts w:asciiTheme="minorHAnsi" w:eastAsiaTheme="minorEastAsia" w:hAnsiTheme="minorHAnsi" w:cstheme="minorBidi"/>
          <w:noProof/>
          <w:sz w:val="24"/>
        </w:rPr>
      </w:pPr>
      <w:hyperlink w:anchor="_Toc234889402" w:history="1">
        <w:r w:rsidRPr="00A222DF">
          <w:rPr>
            <w:rStyle w:val="Hyperlink"/>
            <w:b/>
            <w:bCs/>
            <w:noProof/>
          </w:rPr>
          <w:t>A4. Communication to Stakeholders</w:t>
        </w:r>
        <w:r>
          <w:rPr>
            <w:noProof/>
            <w:webHidden/>
          </w:rPr>
          <w:tab/>
        </w:r>
        <w:r>
          <w:rPr>
            <w:noProof/>
            <w:webHidden/>
          </w:rPr>
          <w:fldChar w:fldCharType="begin"/>
        </w:r>
        <w:r>
          <w:rPr>
            <w:noProof/>
            <w:webHidden/>
          </w:rPr>
          <w:instrText xml:space="preserve"> PAGEREF _Toc234889402 \h </w:instrText>
        </w:r>
        <w:r>
          <w:rPr>
            <w:noProof/>
            <w:webHidden/>
          </w:rPr>
        </w:r>
        <w:r>
          <w:rPr>
            <w:noProof/>
            <w:webHidden/>
          </w:rPr>
          <w:fldChar w:fldCharType="separate"/>
        </w:r>
        <w:r>
          <w:rPr>
            <w:noProof/>
            <w:webHidden/>
          </w:rPr>
          <w:t>10</w:t>
        </w:r>
        <w:r>
          <w:rPr>
            <w:noProof/>
            <w:webHidden/>
          </w:rPr>
          <w:fldChar w:fldCharType="end"/>
        </w:r>
      </w:hyperlink>
    </w:p>
    <w:p w14:paraId="64AFEACE" w14:textId="70928B32" w:rsidR="00824E37" w:rsidRDefault="00824E37">
      <w:pPr>
        <w:pStyle w:val="TOC1"/>
        <w:tabs>
          <w:tab w:val="right" w:leader="dot" w:pos="9350"/>
        </w:tabs>
        <w:rPr>
          <w:rFonts w:asciiTheme="minorHAnsi" w:eastAsiaTheme="minorEastAsia" w:hAnsiTheme="minorHAnsi" w:cstheme="minorBidi"/>
          <w:noProof/>
          <w:sz w:val="24"/>
        </w:rPr>
      </w:pPr>
      <w:hyperlink w:anchor="_Toc234889403" w:history="1">
        <w:r w:rsidRPr="00A222DF">
          <w:rPr>
            <w:rStyle w:val="Hyperlink"/>
            <w:b/>
            <w:bCs/>
            <w:noProof/>
          </w:rPr>
          <w:t>Conclusion</w:t>
        </w:r>
        <w:r>
          <w:rPr>
            <w:noProof/>
            <w:webHidden/>
          </w:rPr>
          <w:tab/>
        </w:r>
        <w:r>
          <w:rPr>
            <w:noProof/>
            <w:webHidden/>
          </w:rPr>
          <w:fldChar w:fldCharType="begin"/>
        </w:r>
        <w:r>
          <w:rPr>
            <w:noProof/>
            <w:webHidden/>
          </w:rPr>
          <w:instrText xml:space="preserve"> PAGEREF _Toc234889403 \h </w:instrText>
        </w:r>
        <w:r>
          <w:rPr>
            <w:noProof/>
            <w:webHidden/>
          </w:rPr>
        </w:r>
        <w:r>
          <w:rPr>
            <w:noProof/>
            <w:webHidden/>
          </w:rPr>
          <w:fldChar w:fldCharType="separate"/>
        </w:r>
        <w:r>
          <w:rPr>
            <w:noProof/>
            <w:webHidden/>
          </w:rPr>
          <w:t>11</w:t>
        </w:r>
        <w:r>
          <w:rPr>
            <w:noProof/>
            <w:webHidden/>
          </w:rPr>
          <w:fldChar w:fldCharType="end"/>
        </w:r>
      </w:hyperlink>
    </w:p>
    <w:p w14:paraId="4BCFC04C" w14:textId="7BD47482" w:rsidR="00824E37" w:rsidRDefault="00824E37" w:rsidP="00B21301">
      <w:pPr>
        <w:pStyle w:val="TOC1"/>
        <w:numPr>
          <w:ilvl w:val="0"/>
          <w:numId w:val="8"/>
        </w:numPr>
        <w:tabs>
          <w:tab w:val="left" w:pos="720"/>
          <w:tab w:val="right" w:leader="dot" w:pos="9350"/>
        </w:tabs>
        <w:ind w:left="360"/>
        <w:rPr>
          <w:rFonts w:asciiTheme="minorHAnsi" w:eastAsiaTheme="minorEastAsia" w:hAnsiTheme="minorHAnsi" w:cstheme="minorBidi"/>
          <w:noProof/>
          <w:sz w:val="24"/>
        </w:rPr>
      </w:pPr>
      <w:hyperlink w:anchor="_Toc234889404" w:history="1">
        <w:r w:rsidRPr="00A222DF">
          <w:rPr>
            <w:rStyle w:val="Hyperlink"/>
            <w:b/>
            <w:bCs/>
            <w:noProof/>
          </w:rPr>
          <w:t>References</w:t>
        </w:r>
        <w:r>
          <w:rPr>
            <w:noProof/>
            <w:webHidden/>
          </w:rPr>
          <w:tab/>
        </w:r>
        <w:r>
          <w:rPr>
            <w:noProof/>
            <w:webHidden/>
          </w:rPr>
          <w:fldChar w:fldCharType="begin"/>
        </w:r>
        <w:r>
          <w:rPr>
            <w:noProof/>
            <w:webHidden/>
          </w:rPr>
          <w:instrText xml:space="preserve"> PAGEREF _Toc234889404 \h </w:instrText>
        </w:r>
        <w:r>
          <w:rPr>
            <w:noProof/>
            <w:webHidden/>
          </w:rPr>
        </w:r>
        <w:r>
          <w:rPr>
            <w:noProof/>
            <w:webHidden/>
          </w:rPr>
          <w:fldChar w:fldCharType="separate"/>
        </w:r>
        <w:r>
          <w:rPr>
            <w:noProof/>
            <w:webHidden/>
          </w:rPr>
          <w:t>12</w:t>
        </w:r>
        <w:r>
          <w:rPr>
            <w:noProof/>
            <w:webHidden/>
          </w:rPr>
          <w:fldChar w:fldCharType="end"/>
        </w:r>
      </w:hyperlink>
    </w:p>
    <w:p w14:paraId="36CD40B3" w14:textId="7C10FDD2" w:rsidR="00FE64E5" w:rsidRDefault="007D0E50" w:rsidP="005D2D0A">
      <w:pPr>
        <w:spacing w:before="240" w:after="120" w:line="240" w:lineRule="auto"/>
        <w:rPr>
          <w:b/>
          <w:bCs/>
          <w:sz w:val="32"/>
          <w:szCs w:val="32"/>
        </w:rPr>
      </w:pPr>
      <w:r>
        <w:rPr>
          <w:b/>
          <w:bCs/>
          <w:sz w:val="32"/>
          <w:szCs w:val="32"/>
        </w:rPr>
        <w:fldChar w:fldCharType="end"/>
      </w:r>
    </w:p>
    <w:p w14:paraId="73E20E64" w14:textId="7DEC8530" w:rsidR="005D2D0A" w:rsidRDefault="00FE64E5" w:rsidP="00FE64E5">
      <w:pPr>
        <w:rPr>
          <w:b/>
          <w:bCs/>
          <w:sz w:val="32"/>
          <w:szCs w:val="32"/>
        </w:rPr>
      </w:pPr>
      <w:r>
        <w:rPr>
          <w:b/>
          <w:bCs/>
          <w:sz w:val="32"/>
          <w:szCs w:val="32"/>
        </w:rPr>
        <w:br w:type="page"/>
      </w:r>
    </w:p>
    <w:p w14:paraId="45F28FD5" w14:textId="7AF5B950" w:rsidR="0056334F" w:rsidRDefault="00D5319D" w:rsidP="008B238E">
      <w:pPr>
        <w:pStyle w:val="Heading1"/>
        <w:spacing w:before="240" w:after="120" w:line="240" w:lineRule="auto"/>
        <w:rPr>
          <w:rFonts w:ascii="Times New Roman" w:hAnsi="Times New Roman" w:cs="Times New Roman"/>
          <w:b/>
          <w:bCs/>
          <w:color w:val="auto"/>
          <w:sz w:val="28"/>
          <w:szCs w:val="28"/>
        </w:rPr>
      </w:pPr>
      <w:bookmarkStart w:id="0" w:name="_Toc234889393"/>
      <w:r w:rsidRPr="00A93DA8">
        <w:rPr>
          <w:rFonts w:ascii="Times New Roman" w:hAnsi="Times New Roman" w:cs="Times New Roman"/>
          <w:b/>
          <w:bCs/>
          <w:color w:val="auto"/>
          <w:sz w:val="28"/>
          <w:szCs w:val="28"/>
        </w:rPr>
        <w:lastRenderedPageBreak/>
        <w:t>Executive Summary</w:t>
      </w:r>
      <w:bookmarkEnd w:id="0"/>
    </w:p>
    <w:p w14:paraId="2013C393" w14:textId="4A464858" w:rsidR="008B238E" w:rsidRPr="008B238E" w:rsidRDefault="008B238E" w:rsidP="008B238E">
      <w:pPr>
        <w:spacing w:before="0" w:after="120" w:line="360" w:lineRule="auto"/>
        <w:rPr>
          <w:rFonts w:eastAsia="Times New Roman"/>
        </w:rPr>
      </w:pPr>
      <w:r w:rsidRPr="008B238E">
        <w:rPr>
          <w:rFonts w:eastAsia="Times New Roman"/>
        </w:rPr>
        <w:t xml:space="preserve">GlobalBiz Solutions Inc. (GBS) has an international presence throughout the United States, </w:t>
      </w:r>
      <w:r>
        <w:rPr>
          <w:rFonts w:eastAsia="Times New Roman"/>
        </w:rPr>
        <w:t xml:space="preserve">the </w:t>
      </w:r>
      <w:r w:rsidRPr="008B238E">
        <w:rPr>
          <w:rFonts w:eastAsia="Times New Roman"/>
        </w:rPr>
        <w:t xml:space="preserve">European Union, and Asia and relies on these systems to license software, sell office supplies, provide administrative support, and handle global data processes. In response to its recent vendor breach and executive spear-phishing attack, GBS needs a documented incident response plan with detailed guidelines </w:t>
      </w:r>
      <w:r>
        <w:rPr>
          <w:rFonts w:eastAsia="Times New Roman"/>
        </w:rPr>
        <w:t>for identifying, containing, staffing, measuring, and communicating</w:t>
      </w:r>
      <w:r w:rsidRPr="008B238E">
        <w:rPr>
          <w:rFonts w:eastAsia="Times New Roman"/>
        </w:rPr>
        <w:t xml:space="preserve">. </w:t>
      </w:r>
    </w:p>
    <w:p w14:paraId="3142AB48" w14:textId="32CAB370" w:rsidR="008B238E" w:rsidRPr="008B238E" w:rsidRDefault="008B238E" w:rsidP="008B238E">
      <w:pPr>
        <w:spacing w:before="0" w:after="120" w:line="360" w:lineRule="auto"/>
        <w:rPr>
          <w:rFonts w:eastAsia="Times New Roman"/>
        </w:rPr>
      </w:pPr>
      <w:r w:rsidRPr="008B238E">
        <w:rPr>
          <w:rFonts w:eastAsia="Times New Roman"/>
        </w:rPr>
        <w:t xml:space="preserve">The report provides recommendations for specific controls to address these two types of incidents, offers two response roles to bridge GBS's current </w:t>
      </w:r>
      <w:r>
        <w:rPr>
          <w:rFonts w:eastAsia="Times New Roman"/>
        </w:rPr>
        <w:t xml:space="preserve">staffing shortages, suggests an approach to standardize measurement, and outlines a communication approach for both </w:t>
      </w:r>
      <w:r w:rsidRPr="008B238E">
        <w:rPr>
          <w:rFonts w:eastAsia="Times New Roman"/>
        </w:rPr>
        <w:t xml:space="preserve">external and internal stakeholders. </w:t>
      </w:r>
    </w:p>
    <w:p w14:paraId="4906A735" w14:textId="464E6394" w:rsidR="00FE64E5" w:rsidRPr="008B238E" w:rsidRDefault="008B238E" w:rsidP="00EB3EF3">
      <w:pPr>
        <w:spacing w:before="0" w:after="120" w:line="360" w:lineRule="auto"/>
        <w:rPr>
          <w:rFonts w:eastAsia="Times New Roman"/>
        </w:rPr>
      </w:pPr>
      <w:r w:rsidRPr="008B238E">
        <w:rPr>
          <w:rFonts w:eastAsia="Times New Roman"/>
        </w:rPr>
        <w:t xml:space="preserve">Recommendations emphasize minimizing harm without </w:t>
      </w:r>
      <w:r>
        <w:rPr>
          <w:rFonts w:eastAsia="Times New Roman"/>
        </w:rPr>
        <w:t>unnecessarily affecting other offices that were not involved in</w:t>
      </w:r>
      <w:r w:rsidRPr="008B238E">
        <w:rPr>
          <w:rFonts w:eastAsia="Times New Roman"/>
        </w:rPr>
        <w:t xml:space="preserve"> the incident.</w:t>
      </w:r>
    </w:p>
    <w:p w14:paraId="142ADD49" w14:textId="2757FD83" w:rsidR="00BD727A" w:rsidRPr="00A93DA8" w:rsidRDefault="00E700A9" w:rsidP="008B238E">
      <w:pPr>
        <w:pStyle w:val="Heading1"/>
        <w:numPr>
          <w:ilvl w:val="0"/>
          <w:numId w:val="5"/>
        </w:numPr>
        <w:spacing w:before="240" w:after="120" w:line="240" w:lineRule="auto"/>
        <w:ind w:left="360"/>
        <w:rPr>
          <w:rFonts w:ascii="Times New Roman" w:hAnsi="Times New Roman" w:cs="Times New Roman"/>
          <w:b/>
          <w:bCs/>
          <w:color w:val="auto"/>
          <w:sz w:val="28"/>
          <w:szCs w:val="28"/>
        </w:rPr>
      </w:pPr>
      <w:bookmarkStart w:id="1" w:name="_Toc234860528"/>
      <w:bookmarkStart w:id="2" w:name="_Toc234889394"/>
      <w:r w:rsidRPr="00A93DA8">
        <w:rPr>
          <w:rFonts w:ascii="Times New Roman" w:hAnsi="Times New Roman" w:cs="Times New Roman"/>
          <w:b/>
          <w:bCs/>
          <w:color w:val="auto"/>
          <w:sz w:val="28"/>
          <w:szCs w:val="28"/>
        </w:rPr>
        <w:t>Incident Response Plan Recommendations</w:t>
      </w:r>
      <w:bookmarkEnd w:id="1"/>
      <w:bookmarkEnd w:id="2"/>
    </w:p>
    <w:p w14:paraId="7DBF914F" w14:textId="3B0777BB" w:rsidR="0005727D" w:rsidRDefault="0005727D" w:rsidP="008B238E">
      <w:pPr>
        <w:pStyle w:val="Heading2"/>
        <w:spacing w:before="240" w:after="120" w:line="240" w:lineRule="auto"/>
        <w:rPr>
          <w:rFonts w:ascii="Times New Roman" w:hAnsi="Times New Roman" w:cs="Times New Roman"/>
          <w:b/>
          <w:bCs/>
          <w:color w:val="auto"/>
          <w:sz w:val="25"/>
          <w:szCs w:val="25"/>
        </w:rPr>
      </w:pPr>
      <w:bookmarkStart w:id="3" w:name="_Toc234860529"/>
      <w:bookmarkStart w:id="4" w:name="_Toc234889395"/>
      <w:r w:rsidRPr="00F058AA">
        <w:rPr>
          <w:rFonts w:ascii="Times New Roman" w:hAnsi="Times New Roman" w:cs="Times New Roman"/>
          <w:b/>
          <w:bCs/>
          <w:color w:val="auto"/>
          <w:sz w:val="25"/>
          <w:szCs w:val="25"/>
        </w:rPr>
        <w:t>A1. Organization and Cybersecurity Incidents or Events</w:t>
      </w:r>
      <w:bookmarkEnd w:id="3"/>
      <w:bookmarkEnd w:id="4"/>
    </w:p>
    <w:p w14:paraId="3B985F55" w14:textId="778E9305" w:rsidR="00C60EDA" w:rsidRPr="00C60EDA" w:rsidRDefault="00C60EDA" w:rsidP="00C60EDA">
      <w:pPr>
        <w:spacing w:before="0" w:after="120" w:line="360" w:lineRule="auto"/>
        <w:rPr>
          <w:rFonts w:eastAsia="Times New Roman"/>
        </w:rPr>
      </w:pPr>
      <w:r w:rsidRPr="00C60EDA">
        <w:rPr>
          <w:rFonts w:eastAsia="Times New Roman"/>
        </w:rPr>
        <w:t xml:space="preserve">Our organization, GlobalBiz Solutions Inc. (GBS), is </w:t>
      </w:r>
      <w:r>
        <w:rPr>
          <w:rFonts w:eastAsia="Times New Roman"/>
        </w:rPr>
        <w:t>a publicly traded S&amp;P 500 company based</w:t>
      </w:r>
      <w:r w:rsidRPr="00C60EDA">
        <w:rPr>
          <w:rFonts w:eastAsia="Times New Roman"/>
        </w:rPr>
        <w:t xml:space="preserve"> in San Francisco. GBS has a global workforce of over 10,000 people spread across 25 offices and </w:t>
      </w:r>
      <w:r>
        <w:rPr>
          <w:rFonts w:eastAsia="Times New Roman"/>
        </w:rPr>
        <w:t>processes personally identifiable information</w:t>
      </w:r>
      <w:r w:rsidRPr="00C60EDA">
        <w:rPr>
          <w:rFonts w:eastAsia="Times New Roman"/>
        </w:rPr>
        <w:t xml:space="preserve">, financial information, </w:t>
      </w:r>
      <w:r w:rsidR="00345F67" w:rsidRPr="00345F67">
        <w:rPr>
          <w:rFonts w:eastAsia="Times New Roman"/>
        </w:rPr>
        <w:t>protected health information, payment card data</w:t>
      </w:r>
      <w:r w:rsidRPr="00C60EDA">
        <w:rPr>
          <w:rFonts w:eastAsia="Times New Roman"/>
        </w:rPr>
        <w:t>, and data in international transfers</w:t>
      </w:r>
      <w:r w:rsidR="00B331F7">
        <w:rPr>
          <w:rFonts w:eastAsia="Times New Roman"/>
        </w:rPr>
        <w:t xml:space="preserve"> </w:t>
      </w:r>
      <w:r w:rsidR="00B331F7" w:rsidRPr="00B331F7">
        <w:rPr>
          <w:rFonts w:eastAsia="Times New Roman"/>
        </w:rPr>
        <w:t>(Western Governors University [WGU], n.d.)</w:t>
      </w:r>
      <w:r w:rsidRPr="00C60EDA">
        <w:rPr>
          <w:rFonts w:eastAsia="Times New Roman"/>
        </w:rPr>
        <w:t xml:space="preserve">. </w:t>
      </w:r>
    </w:p>
    <w:p w14:paraId="5F8E0A5B" w14:textId="1CCBF29C" w:rsidR="00C60EDA" w:rsidRPr="00C60EDA" w:rsidRDefault="003773D5" w:rsidP="00C60EDA">
      <w:pPr>
        <w:spacing w:before="0" w:after="120" w:line="360" w:lineRule="auto"/>
        <w:rPr>
          <w:rFonts w:eastAsia="Times New Roman"/>
        </w:rPr>
      </w:pPr>
      <w:r w:rsidRPr="003773D5">
        <w:rPr>
          <w:rFonts w:eastAsia="Times New Roman"/>
        </w:rPr>
        <w:t xml:space="preserve">GBS also relies on several vendors, and its </w:t>
      </w:r>
      <w:r w:rsidR="00EC4944">
        <w:rPr>
          <w:rFonts w:eastAsia="Times New Roman"/>
        </w:rPr>
        <w:t>U.S.-based</w:t>
      </w:r>
      <w:r w:rsidRPr="003773D5">
        <w:rPr>
          <w:rFonts w:eastAsia="Times New Roman"/>
        </w:rPr>
        <w:t xml:space="preserve"> Security Operations Center (SOC) operates only during regular business hours </w:t>
      </w:r>
      <w:r w:rsidR="004F328D" w:rsidRPr="004F328D">
        <w:rPr>
          <w:rFonts w:eastAsia="Times New Roman"/>
        </w:rPr>
        <w:t>(WGU, n.d.)</w:t>
      </w:r>
      <w:r w:rsidRPr="003773D5">
        <w:rPr>
          <w:rFonts w:eastAsia="Times New Roman"/>
        </w:rPr>
        <w:t>. These conditions should be addressed in the incident response plan</w:t>
      </w:r>
      <w:r w:rsidR="00C60EDA" w:rsidRPr="00C60EDA">
        <w:rPr>
          <w:rFonts w:eastAsia="Times New Roman"/>
        </w:rPr>
        <w:t xml:space="preserve">. </w:t>
      </w:r>
    </w:p>
    <w:p w14:paraId="7304878A" w14:textId="4A622D6C" w:rsidR="00EB3EF3" w:rsidRDefault="003535FB" w:rsidP="00FA42E3">
      <w:pPr>
        <w:spacing w:before="0" w:after="120" w:line="360" w:lineRule="auto"/>
        <w:rPr>
          <w:rFonts w:eastAsia="Times New Roman"/>
        </w:rPr>
      </w:pPr>
      <w:r w:rsidRPr="003535FB">
        <w:rPr>
          <w:rFonts w:eastAsia="Times New Roman"/>
        </w:rPr>
        <w:t>The incident response plan needs to cover two separate incident types: a third-party supply chain compromise and executive spear phishing that leads to unauthorized remote access and payment fraud</w:t>
      </w:r>
      <w:r w:rsidR="00C60EDA" w:rsidRPr="00C60EDA">
        <w:rPr>
          <w:rFonts w:eastAsia="Times New Roman"/>
        </w:rPr>
        <w:t>.</w:t>
      </w:r>
    </w:p>
    <w:p w14:paraId="69A1A827" w14:textId="5D094F6B" w:rsidR="00A105CF" w:rsidRPr="00C60EDA" w:rsidRDefault="00A105CF" w:rsidP="00A105CF">
      <w:pPr>
        <w:rPr>
          <w:rFonts w:eastAsia="Times New Roman"/>
        </w:rPr>
      </w:pPr>
      <w:r>
        <w:rPr>
          <w:rFonts w:eastAsia="Times New Roman"/>
        </w:rPr>
        <w:br w:type="page"/>
      </w:r>
    </w:p>
    <w:p w14:paraId="210051B3" w14:textId="7F696EF7" w:rsidR="00D5319D" w:rsidRDefault="00D5319D" w:rsidP="008B238E">
      <w:pPr>
        <w:pStyle w:val="Heading3"/>
        <w:spacing w:before="240" w:after="120" w:line="240" w:lineRule="auto"/>
        <w:rPr>
          <w:rFonts w:ascii="Times New Roman" w:hAnsi="Times New Roman" w:cs="Times New Roman"/>
          <w:b/>
          <w:bCs/>
          <w:color w:val="auto"/>
          <w:sz w:val="24"/>
          <w:szCs w:val="24"/>
        </w:rPr>
      </w:pPr>
      <w:r w:rsidRPr="005D2D0A">
        <w:rPr>
          <w:rFonts w:ascii="Times New Roman" w:hAnsi="Times New Roman" w:cs="Times New Roman"/>
          <w:b/>
          <w:bCs/>
          <w:color w:val="auto"/>
          <w:sz w:val="24"/>
          <w:szCs w:val="24"/>
        </w:rPr>
        <w:lastRenderedPageBreak/>
        <w:t>Incident 1: Third-Party Supply Chain</w:t>
      </w:r>
      <w:r w:rsidR="00D84F0E" w:rsidRPr="005D2D0A">
        <w:rPr>
          <w:rFonts w:ascii="Times New Roman" w:hAnsi="Times New Roman" w:cs="Times New Roman"/>
          <w:b/>
          <w:bCs/>
          <w:color w:val="auto"/>
          <w:sz w:val="24"/>
          <w:szCs w:val="24"/>
        </w:rPr>
        <w:t xml:space="preserve"> Compromise</w:t>
      </w:r>
    </w:p>
    <w:p w14:paraId="3BC3A013" w14:textId="59BCBB6F" w:rsidR="003A485E" w:rsidRPr="003A485E" w:rsidRDefault="00C146E8" w:rsidP="003A485E">
      <w:pPr>
        <w:spacing w:before="0" w:after="120" w:line="360" w:lineRule="auto"/>
        <w:rPr>
          <w:rFonts w:eastAsia="Times New Roman"/>
        </w:rPr>
      </w:pPr>
      <w:r w:rsidRPr="00C146E8">
        <w:rPr>
          <w:rFonts w:eastAsia="Times New Roman"/>
        </w:rPr>
        <w:t>A compromised vendor system could provide a path into a GBS server through a trusted external connection. In the reported incident, a compromised toner vendor server transferred Cobalt Strike and Mimikatz tools to an internal GBS server. Sensitive data and credentials were then sent from the internal server to the vendor host. The incident was enabled by generic bidirectional firewall rules, a lack of vendor security requirements, and the use of PPTP at GBS’s international offices</w:t>
      </w:r>
      <w:r w:rsidR="003A485E" w:rsidRPr="003A485E">
        <w:rPr>
          <w:rFonts w:eastAsia="Times New Roman"/>
        </w:rPr>
        <w:t xml:space="preserve">. </w:t>
      </w:r>
    </w:p>
    <w:p w14:paraId="715144F6" w14:textId="17AF75F6" w:rsidR="003257ED" w:rsidRPr="003A485E" w:rsidRDefault="00A47B2B" w:rsidP="004E5E4D">
      <w:pPr>
        <w:spacing w:before="0" w:after="120" w:line="360" w:lineRule="auto"/>
        <w:rPr>
          <w:rFonts w:eastAsia="Times New Roman"/>
        </w:rPr>
      </w:pPr>
      <w:r w:rsidRPr="00A47B2B">
        <w:rPr>
          <w:rFonts w:eastAsia="Times New Roman"/>
        </w:rPr>
        <w:t xml:space="preserve">Because the vendor connection reaches the internal inventory database, the incident response plan should treat unexpected vendor traffic, credential-dumping behavior, security tools entering the network, and sensitive data leaving the internal server as signs of a serious security incident </w:t>
      </w:r>
      <w:r w:rsidR="004E5E4D">
        <w:rPr>
          <w:rFonts w:eastAsia="Times New Roman"/>
        </w:rPr>
        <w:t>(WGU, n.d.).</w:t>
      </w:r>
    </w:p>
    <w:p w14:paraId="5BFBC9DC" w14:textId="5F38F8A8" w:rsidR="00D84F0E" w:rsidRDefault="00D84F0E" w:rsidP="008B238E">
      <w:pPr>
        <w:pStyle w:val="Heading3"/>
        <w:spacing w:before="240" w:after="120" w:line="240" w:lineRule="auto"/>
        <w:rPr>
          <w:rFonts w:ascii="Times New Roman" w:hAnsi="Times New Roman" w:cs="Times New Roman"/>
          <w:b/>
          <w:bCs/>
          <w:color w:val="auto"/>
          <w:sz w:val="24"/>
          <w:szCs w:val="24"/>
        </w:rPr>
      </w:pPr>
      <w:r w:rsidRPr="005D2D0A">
        <w:rPr>
          <w:rFonts w:ascii="Times New Roman" w:hAnsi="Times New Roman" w:cs="Times New Roman"/>
          <w:b/>
          <w:bCs/>
          <w:color w:val="auto"/>
          <w:sz w:val="24"/>
          <w:szCs w:val="24"/>
        </w:rPr>
        <w:t>Incident 2: Executive Spear Phishing and Remote Access</w:t>
      </w:r>
    </w:p>
    <w:p w14:paraId="2F646B20" w14:textId="03723F41" w:rsidR="004E5E4D" w:rsidRPr="00E828F4" w:rsidRDefault="00014FAD" w:rsidP="00063698">
      <w:pPr>
        <w:spacing w:before="0" w:after="120" w:line="360" w:lineRule="auto"/>
        <w:rPr>
          <w:rFonts w:eastAsia="Times New Roman"/>
        </w:rPr>
      </w:pPr>
      <w:r w:rsidRPr="00014FAD">
        <w:rPr>
          <w:rFonts w:eastAsia="Times New Roman"/>
        </w:rPr>
        <w:t>A criminal could impersonate a client, persuade an executive or payment employee to install remote-access software, and use that access to steal funds or company information. In the reported incident, the vice president for client relations received an email that appeared to come from an international client about a refund. He installed TeamViewer, and the next morning learned that the corporate purchase card had reached its $150,000 limit. The phishing email was not quarantined, the software installation generated no automated alert, and the required payment validation process was not followed</w:t>
      </w:r>
      <w:r>
        <w:rPr>
          <w:rFonts w:eastAsia="Times New Roman"/>
        </w:rPr>
        <w:t xml:space="preserve"> </w:t>
      </w:r>
      <w:r w:rsidR="00063698">
        <w:rPr>
          <w:rFonts w:eastAsia="Times New Roman"/>
        </w:rPr>
        <w:t>(WGU, n.d.).</w:t>
      </w:r>
    </w:p>
    <w:p w14:paraId="4108694C" w14:textId="42EA3191" w:rsidR="009D7092" w:rsidRDefault="009D7092" w:rsidP="008B238E">
      <w:pPr>
        <w:pStyle w:val="Heading2"/>
        <w:spacing w:before="240" w:after="120" w:line="240" w:lineRule="auto"/>
        <w:rPr>
          <w:rFonts w:ascii="Times New Roman" w:hAnsi="Times New Roman" w:cs="Times New Roman"/>
          <w:b/>
          <w:bCs/>
          <w:color w:val="auto"/>
          <w:sz w:val="25"/>
          <w:szCs w:val="25"/>
        </w:rPr>
      </w:pPr>
      <w:bookmarkStart w:id="5" w:name="_Toc234860530"/>
      <w:bookmarkStart w:id="6" w:name="_Toc234889396"/>
      <w:r w:rsidRPr="00996438">
        <w:rPr>
          <w:rFonts w:ascii="Times New Roman" w:hAnsi="Times New Roman" w:cs="Times New Roman"/>
          <w:b/>
          <w:bCs/>
          <w:color w:val="auto"/>
          <w:sz w:val="25"/>
          <w:szCs w:val="25"/>
        </w:rPr>
        <w:t>A</w:t>
      </w:r>
      <w:r w:rsidR="004E294C" w:rsidRPr="00996438">
        <w:rPr>
          <w:rFonts w:ascii="Times New Roman" w:hAnsi="Times New Roman" w:cs="Times New Roman"/>
          <w:b/>
          <w:bCs/>
          <w:color w:val="auto"/>
          <w:sz w:val="25"/>
          <w:szCs w:val="25"/>
        </w:rPr>
        <w:t>1a.</w:t>
      </w:r>
      <w:bookmarkEnd w:id="5"/>
      <w:r w:rsidR="004E294C" w:rsidRPr="00996438">
        <w:rPr>
          <w:rFonts w:ascii="Times New Roman" w:hAnsi="Times New Roman" w:cs="Times New Roman"/>
          <w:b/>
          <w:bCs/>
          <w:color w:val="auto"/>
          <w:sz w:val="25"/>
          <w:szCs w:val="25"/>
        </w:rPr>
        <w:t xml:space="preserve"> </w:t>
      </w:r>
      <w:r w:rsidR="00923472" w:rsidRPr="00996438">
        <w:rPr>
          <w:rFonts w:ascii="Times New Roman" w:hAnsi="Times New Roman" w:cs="Times New Roman"/>
          <w:b/>
          <w:bCs/>
          <w:color w:val="auto"/>
          <w:sz w:val="25"/>
          <w:szCs w:val="25"/>
        </w:rPr>
        <w:t>Detection Recommendations</w:t>
      </w:r>
      <w:bookmarkEnd w:id="6"/>
    </w:p>
    <w:p w14:paraId="42374C1C" w14:textId="77777777" w:rsidR="004B5BA8" w:rsidRPr="004B5BA8" w:rsidRDefault="004B5BA8" w:rsidP="008B238E">
      <w:pPr>
        <w:pStyle w:val="Heading3"/>
        <w:spacing w:before="240" w:after="120" w:line="240" w:lineRule="auto"/>
        <w:rPr>
          <w:color w:val="auto"/>
        </w:rPr>
      </w:pPr>
      <w:r w:rsidRPr="004B5BA8">
        <w:rPr>
          <w:rFonts w:ascii="Times New Roman" w:eastAsia="Times New Roman" w:hAnsi="Times New Roman"/>
          <w:b/>
          <w:color w:val="auto"/>
          <w:sz w:val="24"/>
        </w:rPr>
        <w:t>Detection for Incident 1: Network Detection and SIEM Correlation</w:t>
      </w:r>
    </w:p>
    <w:p w14:paraId="5839A1C5" w14:textId="627CA5EF" w:rsidR="00C0144F" w:rsidRPr="00F67E8D" w:rsidRDefault="00F67E8D" w:rsidP="00F67E8D">
      <w:pPr>
        <w:spacing w:before="0" w:after="120" w:line="360" w:lineRule="auto"/>
        <w:rPr>
          <w:rFonts w:eastAsia="Times New Roman"/>
        </w:rPr>
      </w:pPr>
      <w:r w:rsidRPr="00F67E8D">
        <w:rPr>
          <w:rFonts w:eastAsia="Times New Roman"/>
        </w:rPr>
        <w:t xml:space="preserve">GBS should use a network detection and response tool that sends firewall, network flow, server, authentication, and endpoint event data to a security information and event management (SIEM) system. The vendor connection should be assigned an expected baseline. It may send approved inventory updates to GBS, but it should not receive credentials or sensitive data from the internal database, </w:t>
      </w:r>
      <w:r>
        <w:rPr>
          <w:rFonts w:eastAsia="Times New Roman"/>
        </w:rPr>
        <w:t>nor</w:t>
      </w:r>
      <w:r w:rsidRPr="00F67E8D">
        <w:rPr>
          <w:rFonts w:eastAsia="Times New Roman"/>
        </w:rPr>
        <w:t xml:space="preserve"> transfer tools into the GBS environment.</w:t>
      </w:r>
    </w:p>
    <w:p w14:paraId="0FEEECDE" w14:textId="77777777" w:rsidR="00F67E8D" w:rsidRPr="00F67E8D" w:rsidRDefault="00F67E8D" w:rsidP="00F67E8D">
      <w:pPr>
        <w:spacing w:before="0" w:after="120" w:line="360" w:lineRule="auto"/>
        <w:rPr>
          <w:rFonts w:eastAsia="Times New Roman"/>
        </w:rPr>
      </w:pPr>
      <w:r w:rsidRPr="00F67E8D">
        <w:rPr>
          <w:rFonts w:eastAsia="Times New Roman"/>
        </w:rPr>
        <w:t xml:space="preserve">The system should alert on unexpected bidirectional traffic, credential-dumping behavior, data leaving the internal server, or known Cobalt Strike and Mimikatz activity associated with the </w:t>
      </w:r>
      <w:r w:rsidRPr="00F67E8D">
        <w:rPr>
          <w:rFonts w:eastAsia="Times New Roman"/>
        </w:rPr>
        <w:lastRenderedPageBreak/>
        <w:t>vendor address. NIST recommends ongoing monitoring of networks, systems, personnel activity, technology use, and external service providers for unexpected behavior (Nelson et al., 2025).</w:t>
      </w:r>
    </w:p>
    <w:p w14:paraId="3B623926" w14:textId="2AA85412" w:rsidR="004B5BA8" w:rsidRDefault="00F67E8D" w:rsidP="004B5BA8">
      <w:pPr>
        <w:spacing w:before="0" w:after="120" w:line="360" w:lineRule="auto"/>
        <w:rPr>
          <w:rFonts w:eastAsia="Times New Roman"/>
        </w:rPr>
      </w:pPr>
      <w:r w:rsidRPr="00F67E8D">
        <w:rPr>
          <w:rFonts w:eastAsia="Times New Roman"/>
        </w:rPr>
        <w:t>Alerts from this connection should be logged and monitored continuously rather than waiting for the U.S. SOC to return during business hours</w:t>
      </w:r>
      <w:r w:rsidR="00122934" w:rsidRPr="00122934">
        <w:rPr>
          <w:rFonts w:eastAsia="Times New Roman"/>
        </w:rPr>
        <w:t>.</w:t>
      </w:r>
    </w:p>
    <w:p w14:paraId="4C57AA8D" w14:textId="77777777" w:rsidR="00EE1246" w:rsidRPr="00EE1246" w:rsidRDefault="00EE1246" w:rsidP="008B238E">
      <w:pPr>
        <w:pStyle w:val="Heading3"/>
        <w:spacing w:before="240" w:after="120" w:line="240" w:lineRule="auto"/>
        <w:rPr>
          <w:color w:val="auto"/>
        </w:rPr>
      </w:pPr>
      <w:r w:rsidRPr="00EE1246">
        <w:rPr>
          <w:rFonts w:ascii="Times New Roman" w:eastAsia="Times New Roman" w:hAnsi="Times New Roman"/>
          <w:b/>
          <w:color w:val="auto"/>
          <w:sz w:val="24"/>
        </w:rPr>
        <w:t>Detection for Incident 2: Email Security and Endpoint Detection</w:t>
      </w:r>
    </w:p>
    <w:p w14:paraId="461B0FF9" w14:textId="77777777" w:rsidR="00D42B79" w:rsidRPr="00D42B79" w:rsidRDefault="00D42B79" w:rsidP="00D42B79">
      <w:pPr>
        <w:spacing w:before="0" w:after="120" w:line="360" w:lineRule="auto"/>
        <w:rPr>
          <w:rFonts w:eastAsia="Times New Roman"/>
        </w:rPr>
      </w:pPr>
      <w:r w:rsidRPr="00D42B79">
        <w:rPr>
          <w:rFonts w:eastAsia="Times New Roman"/>
        </w:rPr>
        <w:t>GBS should integrate its secure email gateway with an endpoint detection and response (EDR) system. The email gateway should label external messages, scan links and attachments, and quarantine suspicious messages, especially those requesting unusual refunds or payments. EDR should alert when TeamViewer or other unapproved remote-access software is downloaded or installed on an executive or payment workstation. The alert should identify the user, device, program, destination, and related email activity so an analyst can review it quickly.</w:t>
      </w:r>
    </w:p>
    <w:p w14:paraId="5DF33C64" w14:textId="53727AB7" w:rsidR="005C4388" w:rsidRPr="005C4388" w:rsidRDefault="00D42B79" w:rsidP="005C4388">
      <w:pPr>
        <w:spacing w:before="0" w:after="120" w:line="360" w:lineRule="auto"/>
        <w:rPr>
          <w:rFonts w:eastAsia="Times New Roman"/>
        </w:rPr>
      </w:pPr>
      <w:r w:rsidRPr="00D42B79">
        <w:rPr>
          <w:rFonts w:eastAsia="Times New Roman"/>
        </w:rPr>
        <w:t>The case study shows both detection gaps: the phishing email remained in the primary inbox, and no automated alert was generated when TeamViewer was installed (WGU, n.d.). Continuous monitoring of email and endpoints for phishing, malware, data loss, and unapproved software installation aligns with NIST incident response guidance</w:t>
      </w:r>
      <w:r>
        <w:rPr>
          <w:rFonts w:eastAsia="Times New Roman"/>
        </w:rPr>
        <w:t xml:space="preserve"> </w:t>
      </w:r>
      <w:r w:rsidR="005C4388" w:rsidRPr="005C4388">
        <w:rPr>
          <w:rFonts w:eastAsia="Times New Roman"/>
        </w:rPr>
        <w:t>(Nelson et al., 2025).</w:t>
      </w:r>
    </w:p>
    <w:p w14:paraId="14E736F6" w14:textId="68E16A88" w:rsidR="00923472" w:rsidRDefault="00923472" w:rsidP="008B238E">
      <w:pPr>
        <w:pStyle w:val="Heading2"/>
        <w:spacing w:before="240" w:after="120" w:line="240" w:lineRule="auto"/>
        <w:rPr>
          <w:rFonts w:ascii="Times New Roman" w:hAnsi="Times New Roman" w:cs="Times New Roman"/>
          <w:b/>
          <w:bCs/>
          <w:color w:val="auto"/>
          <w:sz w:val="25"/>
          <w:szCs w:val="25"/>
        </w:rPr>
      </w:pPr>
      <w:bookmarkStart w:id="7" w:name="_Toc234889397"/>
      <w:r w:rsidRPr="00996438">
        <w:rPr>
          <w:rFonts w:ascii="Times New Roman" w:hAnsi="Times New Roman" w:cs="Times New Roman"/>
          <w:b/>
          <w:bCs/>
          <w:color w:val="auto"/>
          <w:sz w:val="25"/>
          <w:szCs w:val="25"/>
        </w:rPr>
        <w:t>A1b. Containment Recommendations</w:t>
      </w:r>
      <w:bookmarkEnd w:id="7"/>
    </w:p>
    <w:p w14:paraId="1BA47598" w14:textId="77777777" w:rsidR="001A18AB" w:rsidRPr="001A18AB" w:rsidRDefault="001A18AB" w:rsidP="008B238E">
      <w:pPr>
        <w:pStyle w:val="Heading3"/>
        <w:spacing w:before="240" w:after="120" w:line="240" w:lineRule="auto"/>
        <w:rPr>
          <w:color w:val="auto"/>
        </w:rPr>
      </w:pPr>
      <w:r w:rsidRPr="001A18AB">
        <w:rPr>
          <w:rFonts w:ascii="Times New Roman" w:eastAsia="Times New Roman" w:hAnsi="Times New Roman"/>
          <w:b/>
          <w:color w:val="auto"/>
          <w:sz w:val="24"/>
        </w:rPr>
        <w:t>Containment for Incident 1: Isolate the Server and Suspend the Vendor Path</w:t>
      </w:r>
    </w:p>
    <w:p w14:paraId="0BF42A3E" w14:textId="05F0B66B" w:rsidR="00BF496F" w:rsidRPr="00CB5E9A" w:rsidRDefault="00657CA3" w:rsidP="00CB5E9A">
      <w:pPr>
        <w:spacing w:before="0" w:after="120" w:line="360" w:lineRule="auto"/>
        <w:rPr>
          <w:rFonts w:eastAsia="Times New Roman"/>
        </w:rPr>
      </w:pPr>
      <w:r w:rsidRPr="00657CA3">
        <w:rPr>
          <w:rFonts w:eastAsia="Times New Roman"/>
        </w:rPr>
        <w:t>When a vendor compromise is identified or suspected, GBS should immediately isolate the affected server from the network without powering it off and block the vendor connection at the firewall. The SOC should then collect volatile evidence and logs, block related indicators, and disable or rotate credentials used by the vendor connection. Normal operations should resume only after GBS confirms that the vendor has removed the threat and a vendor-specific firewall rule limits access to approved inventory traffic</w:t>
      </w:r>
      <w:r w:rsidR="00CB5E9A" w:rsidRPr="00CB5E9A">
        <w:rPr>
          <w:rFonts w:eastAsia="Times New Roman"/>
        </w:rPr>
        <w:t xml:space="preserve">. </w:t>
      </w:r>
    </w:p>
    <w:p w14:paraId="1D1DA168" w14:textId="74E03D16" w:rsidR="00CB5E9A" w:rsidRPr="00CB5E9A" w:rsidRDefault="007E3D50" w:rsidP="00CB5E9A">
      <w:pPr>
        <w:spacing w:before="0" w:after="120" w:line="360" w:lineRule="auto"/>
        <w:rPr>
          <w:rFonts w:eastAsia="Times New Roman"/>
        </w:rPr>
      </w:pPr>
      <w:r w:rsidRPr="007E3D50">
        <w:rPr>
          <w:rFonts w:eastAsia="Times New Roman"/>
        </w:rPr>
        <w:t>Guidance for firewall deployment advocates</w:t>
      </w:r>
      <w:r w:rsidR="00A8778E">
        <w:rPr>
          <w:rFonts w:eastAsia="Times New Roman"/>
        </w:rPr>
        <w:t xml:space="preserve"> </w:t>
      </w:r>
      <w:r w:rsidRPr="007E3D50">
        <w:rPr>
          <w:rFonts w:eastAsia="Times New Roman"/>
        </w:rPr>
        <w:t>limiting traffic to legitimate business needs rather than providing wide-open Internet access</w:t>
      </w:r>
      <w:r>
        <w:rPr>
          <w:rFonts w:eastAsia="Times New Roman"/>
        </w:rPr>
        <w:t xml:space="preserve"> </w:t>
      </w:r>
      <w:sdt>
        <w:sdtPr>
          <w:rPr>
            <w:rFonts w:eastAsia="Times New Roman"/>
          </w:rPr>
          <w:id w:val="-1184353246"/>
          <w:citation/>
        </w:sdtPr>
        <w:sdtContent>
          <w:r w:rsidR="00A56176">
            <w:rPr>
              <w:rFonts w:eastAsia="Times New Roman"/>
            </w:rPr>
            <w:fldChar w:fldCharType="begin"/>
          </w:r>
          <w:r w:rsidR="00A56176">
            <w:rPr>
              <w:rFonts w:eastAsia="Times New Roman"/>
            </w:rPr>
            <w:instrText xml:space="preserve"> CITATION Sca09 \l 1033 </w:instrText>
          </w:r>
          <w:r w:rsidR="00A56176">
            <w:rPr>
              <w:rFonts w:eastAsia="Times New Roman"/>
            </w:rPr>
            <w:fldChar w:fldCharType="separate"/>
          </w:r>
          <w:r w:rsidR="00A56176" w:rsidRPr="00A56176">
            <w:rPr>
              <w:rFonts w:eastAsia="Times New Roman"/>
              <w:noProof/>
            </w:rPr>
            <w:t>(Scarfone &amp; Hoffman, 2009)</w:t>
          </w:r>
          <w:r w:rsidR="00A56176">
            <w:rPr>
              <w:rFonts w:eastAsia="Times New Roman"/>
            </w:rPr>
            <w:fldChar w:fldCharType="end"/>
          </w:r>
        </w:sdtContent>
      </w:sdt>
      <w:r w:rsidR="00CB5E9A" w:rsidRPr="00CB5E9A">
        <w:rPr>
          <w:rFonts w:eastAsia="Times New Roman"/>
        </w:rPr>
        <w:t xml:space="preserve">. </w:t>
      </w:r>
    </w:p>
    <w:p w14:paraId="14C5CFA0" w14:textId="26F0FEEC" w:rsidR="00CB5E9A" w:rsidRPr="00CB5E9A" w:rsidRDefault="00A56176" w:rsidP="00CB5E9A">
      <w:pPr>
        <w:spacing w:before="0" w:after="120" w:line="360" w:lineRule="auto"/>
        <w:rPr>
          <w:rFonts w:eastAsia="Times New Roman"/>
        </w:rPr>
      </w:pPr>
      <w:r w:rsidRPr="00A56176">
        <w:rPr>
          <w:rFonts w:eastAsia="Times New Roman"/>
        </w:rPr>
        <w:t>NIST also explains that containment limits the spread of an incident; isolating a compromised system on a segregated network is one way to do that</w:t>
      </w:r>
      <w:r>
        <w:rPr>
          <w:rFonts w:eastAsia="Times New Roman"/>
        </w:rPr>
        <w:t xml:space="preserve"> </w:t>
      </w:r>
      <w:r w:rsidR="00CB5E9A" w:rsidRPr="00CB5E9A">
        <w:rPr>
          <w:rFonts w:eastAsia="Times New Roman"/>
        </w:rPr>
        <w:t>(Nelson et al., 2025)</w:t>
      </w:r>
      <w:r w:rsidR="00C0144F">
        <w:rPr>
          <w:rFonts w:eastAsia="Times New Roman"/>
        </w:rPr>
        <w:t>.</w:t>
      </w:r>
    </w:p>
    <w:p w14:paraId="27C6C963" w14:textId="77777777" w:rsidR="001A18AB" w:rsidRPr="001A18AB" w:rsidRDefault="001A18AB" w:rsidP="008B238E">
      <w:pPr>
        <w:pStyle w:val="Heading3"/>
        <w:spacing w:before="240" w:after="120" w:line="240" w:lineRule="auto"/>
        <w:rPr>
          <w:color w:val="auto"/>
        </w:rPr>
      </w:pPr>
      <w:r w:rsidRPr="001A18AB">
        <w:rPr>
          <w:rFonts w:ascii="Times New Roman" w:eastAsia="Times New Roman" w:hAnsi="Times New Roman"/>
          <w:b/>
          <w:color w:val="auto"/>
          <w:sz w:val="24"/>
        </w:rPr>
        <w:lastRenderedPageBreak/>
        <w:t>Containment for Incident 2: Isolate the Endpoint and Suspend Compromised Access</w:t>
      </w:r>
    </w:p>
    <w:p w14:paraId="1648FEF5" w14:textId="77777777" w:rsidR="004D54EA" w:rsidRPr="004D54EA" w:rsidRDefault="004D54EA" w:rsidP="004D54EA">
      <w:pPr>
        <w:spacing w:before="0" w:after="120" w:line="360" w:lineRule="auto"/>
        <w:rPr>
          <w:rFonts w:eastAsia="Times New Roman"/>
        </w:rPr>
      </w:pPr>
      <w:r w:rsidRPr="004D54EA">
        <w:rPr>
          <w:rFonts w:eastAsia="Times New Roman"/>
        </w:rPr>
        <w:t>GBS should use EDR to isolate the affected workstation and terminate the remote-access session before the attacker can reach additional systems. GBS should disable active sessions for the compromised executive, block the remote-access software, reset exposed credentials, and freeze the affected payment card or account. A known-good replacement device and approved alternate payment method should be provided while the original device and account activity are investigated.</w:t>
      </w:r>
    </w:p>
    <w:p w14:paraId="493B8DE6" w14:textId="3135A464" w:rsidR="00EE1246" w:rsidRPr="00930B93" w:rsidRDefault="004D54EA" w:rsidP="001A18AB">
      <w:pPr>
        <w:spacing w:before="0" w:after="120" w:line="360" w:lineRule="auto"/>
        <w:rPr>
          <w:rFonts w:eastAsia="Times New Roman"/>
        </w:rPr>
      </w:pPr>
      <w:r w:rsidRPr="004D54EA">
        <w:rPr>
          <w:rFonts w:eastAsia="Times New Roman"/>
        </w:rPr>
        <w:t>Containment should begin as soon as the incident is confirmed because continued remote access could allow additional payments, credential theft, or lateral movement. NIST explains that containment limits the spread of an incident and may include disabling compromised accounts</w:t>
      </w:r>
      <w:r w:rsidR="00F6761D">
        <w:rPr>
          <w:rFonts w:eastAsia="Times New Roman"/>
        </w:rPr>
        <w:t xml:space="preserve"> </w:t>
      </w:r>
      <w:r w:rsidR="00F8503B">
        <w:rPr>
          <w:rFonts w:eastAsia="Times New Roman"/>
        </w:rPr>
        <w:t>(</w:t>
      </w:r>
      <w:r w:rsidR="00F6761D" w:rsidRPr="00F6761D">
        <w:rPr>
          <w:rFonts w:eastAsia="Times New Roman"/>
        </w:rPr>
        <w:t>Nelson et al., 2025)</w:t>
      </w:r>
      <w:r w:rsidR="00930B93" w:rsidRPr="00930B93">
        <w:rPr>
          <w:rFonts w:eastAsia="Times New Roman"/>
        </w:rPr>
        <w:t>.</w:t>
      </w:r>
    </w:p>
    <w:p w14:paraId="0D581102" w14:textId="1E6EDFA7" w:rsidR="00923472" w:rsidRDefault="00923472" w:rsidP="008B238E">
      <w:pPr>
        <w:pStyle w:val="Heading2"/>
        <w:spacing w:before="240" w:after="120" w:line="240" w:lineRule="auto"/>
        <w:rPr>
          <w:rFonts w:ascii="Times New Roman" w:hAnsi="Times New Roman" w:cs="Times New Roman"/>
          <w:b/>
          <w:bCs/>
          <w:color w:val="auto"/>
          <w:sz w:val="25"/>
          <w:szCs w:val="25"/>
        </w:rPr>
      </w:pPr>
      <w:bookmarkStart w:id="8" w:name="_Toc234889398"/>
      <w:r w:rsidRPr="00A32239">
        <w:rPr>
          <w:rFonts w:ascii="Times New Roman" w:hAnsi="Times New Roman" w:cs="Times New Roman"/>
          <w:b/>
          <w:bCs/>
          <w:color w:val="auto"/>
          <w:sz w:val="25"/>
          <w:szCs w:val="25"/>
        </w:rPr>
        <w:t>A1b</w:t>
      </w:r>
      <w:r w:rsidR="00617AAC" w:rsidRPr="00A32239">
        <w:rPr>
          <w:rFonts w:ascii="Times New Roman" w:hAnsi="Times New Roman" w:cs="Times New Roman"/>
          <w:b/>
          <w:bCs/>
          <w:color w:val="auto"/>
          <w:sz w:val="25"/>
          <w:szCs w:val="25"/>
        </w:rPr>
        <w:t>(i). Alignment With GBS Security Goals</w:t>
      </w:r>
      <w:bookmarkEnd w:id="8"/>
    </w:p>
    <w:p w14:paraId="10585A62" w14:textId="77777777" w:rsidR="00574AF0" w:rsidRPr="00574AF0" w:rsidRDefault="00574AF0" w:rsidP="008B238E">
      <w:pPr>
        <w:pStyle w:val="Heading3"/>
        <w:spacing w:before="240" w:after="120" w:line="240" w:lineRule="auto"/>
        <w:rPr>
          <w:color w:val="auto"/>
        </w:rPr>
      </w:pPr>
      <w:r w:rsidRPr="00574AF0">
        <w:rPr>
          <w:rFonts w:ascii="Times New Roman" w:eastAsia="Times New Roman" w:hAnsi="Times New Roman"/>
          <w:b/>
          <w:color w:val="auto"/>
          <w:sz w:val="24"/>
        </w:rPr>
        <w:t>Alignment of the Supply Chain Containment Action</w:t>
      </w:r>
    </w:p>
    <w:p w14:paraId="356A5E40" w14:textId="31B5F81F" w:rsidR="00E414C4" w:rsidRPr="00E414C4" w:rsidRDefault="003A4D92" w:rsidP="00BF496F">
      <w:pPr>
        <w:spacing w:before="0" w:after="120" w:line="360" w:lineRule="auto"/>
        <w:rPr>
          <w:rFonts w:eastAsia="Times New Roman"/>
        </w:rPr>
      </w:pPr>
      <w:r w:rsidRPr="003A4D92">
        <w:rPr>
          <w:rFonts w:eastAsia="Times New Roman"/>
        </w:rPr>
        <w:t>Isolating the affected server and blocking only the compromised vendor path would help preserve availability at other GBS offices. This limits disruption to the affected connection and system</w:t>
      </w:r>
      <w:r>
        <w:rPr>
          <w:rFonts w:eastAsia="Times New Roman"/>
        </w:rPr>
        <w:t>, rather than</w:t>
      </w:r>
      <w:r w:rsidRPr="003A4D92">
        <w:rPr>
          <w:rFonts w:eastAsia="Times New Roman"/>
        </w:rPr>
        <w:t xml:space="preserve"> shutting down unrelated operations. A controlled manual inventory process could support business continuity while the server and vendor are reviewed. Protecting sensitive data, preserving evidence, and replacing the broad rule with a vendor-specific rule also support GBS’s compliance and resilience goals</w:t>
      </w:r>
      <w:r>
        <w:rPr>
          <w:rFonts w:eastAsia="Times New Roman"/>
        </w:rPr>
        <w:t xml:space="preserve"> </w:t>
      </w:r>
      <w:r w:rsidR="00E414C4" w:rsidRPr="00E414C4">
        <w:rPr>
          <w:rFonts w:eastAsia="Times New Roman"/>
        </w:rPr>
        <w:t>(WGU, n.d.).</w:t>
      </w:r>
    </w:p>
    <w:p w14:paraId="3AE72D8B" w14:textId="77777777" w:rsidR="00574AF0" w:rsidRPr="00574AF0" w:rsidRDefault="00574AF0" w:rsidP="008B238E">
      <w:pPr>
        <w:pStyle w:val="Heading3"/>
        <w:spacing w:before="240" w:after="120" w:line="240" w:lineRule="auto"/>
        <w:rPr>
          <w:color w:val="auto"/>
        </w:rPr>
      </w:pPr>
      <w:r w:rsidRPr="00574AF0">
        <w:rPr>
          <w:rFonts w:ascii="Times New Roman" w:eastAsia="Times New Roman" w:hAnsi="Times New Roman"/>
          <w:b/>
          <w:color w:val="auto"/>
          <w:sz w:val="24"/>
        </w:rPr>
        <w:t>Alignment of the Spear-Phishing Containment Action</w:t>
      </w:r>
    </w:p>
    <w:p w14:paraId="51CAEDDC" w14:textId="1A05D6C5" w:rsidR="00574AF0" w:rsidRDefault="003A4D92" w:rsidP="00574AF0">
      <w:pPr>
        <w:spacing w:before="0" w:after="120" w:line="360" w:lineRule="auto"/>
      </w:pPr>
      <w:r w:rsidRPr="003A4D92">
        <w:rPr>
          <w:rFonts w:eastAsia="Times New Roman"/>
        </w:rPr>
        <w:t xml:space="preserve">Quarantining the executive workstation and suspending the compromised credentials and payment account would reduce the risk to financial and customer data without shutting down unrelated systems. A clean device and an approved alternate payment method would allow the executive to continue essential work during the investigation. Revoking the attacker’s access also supports GBS’s goal of minimizing </w:t>
      </w:r>
      <w:r>
        <w:rPr>
          <w:rFonts w:eastAsia="Times New Roman"/>
        </w:rPr>
        <w:t xml:space="preserve">the impact of incidents </w:t>
      </w:r>
      <w:r w:rsidRPr="003A4D92">
        <w:rPr>
          <w:rFonts w:eastAsia="Times New Roman"/>
        </w:rPr>
        <w:t>while preserving availability</w:t>
      </w:r>
      <w:r>
        <w:rPr>
          <w:rFonts w:eastAsia="Times New Roman"/>
        </w:rPr>
        <w:t xml:space="preserve"> </w:t>
      </w:r>
      <w:r w:rsidR="00574AF0">
        <w:rPr>
          <w:rFonts w:eastAsia="Times New Roman"/>
        </w:rPr>
        <w:t>(WGU, n.d.).</w:t>
      </w:r>
    </w:p>
    <w:p w14:paraId="1A64E844" w14:textId="77777777" w:rsidR="001A18AB" w:rsidRPr="001A18AB" w:rsidRDefault="001A18AB" w:rsidP="001A18AB"/>
    <w:p w14:paraId="2ABD4746" w14:textId="77777777" w:rsidR="00FE64E5" w:rsidRDefault="00FE64E5" w:rsidP="00FE64E5"/>
    <w:p w14:paraId="469C4C62" w14:textId="5C633D02" w:rsidR="00FE64E5" w:rsidRPr="00FE64E5" w:rsidRDefault="00FE64E5" w:rsidP="00FE64E5">
      <w:r>
        <w:br w:type="page"/>
      </w:r>
    </w:p>
    <w:p w14:paraId="3354F7A1" w14:textId="2677CEF2" w:rsidR="00617AAC" w:rsidRDefault="00617AAC" w:rsidP="008B238E">
      <w:pPr>
        <w:pStyle w:val="Heading1"/>
        <w:spacing w:before="240" w:after="120" w:line="240" w:lineRule="auto"/>
        <w:rPr>
          <w:rFonts w:ascii="Times New Roman" w:hAnsi="Times New Roman" w:cs="Times New Roman"/>
          <w:b/>
          <w:bCs/>
          <w:color w:val="auto"/>
          <w:sz w:val="28"/>
          <w:szCs w:val="28"/>
        </w:rPr>
      </w:pPr>
      <w:bookmarkStart w:id="9" w:name="_Toc234889399"/>
      <w:bookmarkStart w:id="10" w:name="_Toc234860531"/>
      <w:r w:rsidRPr="00202027">
        <w:rPr>
          <w:rFonts w:ascii="Times New Roman" w:hAnsi="Times New Roman" w:cs="Times New Roman"/>
          <w:b/>
          <w:bCs/>
          <w:color w:val="auto"/>
          <w:sz w:val="28"/>
          <w:szCs w:val="28"/>
        </w:rPr>
        <w:lastRenderedPageBreak/>
        <w:t>A2. Incident Response Roles and Responsibilities</w:t>
      </w:r>
      <w:bookmarkEnd w:id="9"/>
    </w:p>
    <w:p w14:paraId="09B4565C" w14:textId="77777777" w:rsidR="006443E9" w:rsidRPr="006443E9" w:rsidRDefault="006443E9" w:rsidP="008B238E">
      <w:pPr>
        <w:pStyle w:val="Heading3"/>
        <w:spacing w:before="240" w:after="120" w:line="240" w:lineRule="auto"/>
        <w:rPr>
          <w:color w:val="auto"/>
        </w:rPr>
      </w:pPr>
      <w:r w:rsidRPr="006443E9">
        <w:rPr>
          <w:rFonts w:ascii="Times New Roman" w:eastAsia="Times New Roman" w:hAnsi="Times New Roman"/>
          <w:b/>
          <w:color w:val="auto"/>
          <w:sz w:val="24"/>
        </w:rPr>
        <w:t>Role 1: Incident Response Manager</w:t>
      </w:r>
    </w:p>
    <w:p w14:paraId="4316209B" w14:textId="77777777" w:rsidR="006E6298" w:rsidRPr="006E6298" w:rsidRDefault="006E6298" w:rsidP="006E6298">
      <w:pPr>
        <w:spacing w:before="0" w:after="120" w:line="360" w:lineRule="auto"/>
        <w:rPr>
          <w:rFonts w:eastAsia="Times New Roman"/>
        </w:rPr>
      </w:pPr>
      <w:r w:rsidRPr="006E6298">
        <w:rPr>
          <w:rFonts w:eastAsia="Times New Roman"/>
        </w:rPr>
        <w:t>GBS should establish an Incident Response Manager role with written authority to declare an incident, activate the plan, classify its severity, assign an incident lead, distribute tasks, and authorize urgent containment actions. The manager should coordinate the SOC and network administrators with legal, compliance, business owners, vendors, and executive leadership.</w:t>
      </w:r>
    </w:p>
    <w:p w14:paraId="6F16F4B8" w14:textId="16012E75" w:rsidR="00371125" w:rsidRPr="00371125" w:rsidRDefault="004006BB" w:rsidP="00371125">
      <w:pPr>
        <w:spacing w:before="0" w:after="120" w:line="360" w:lineRule="auto"/>
        <w:rPr>
          <w:rFonts w:eastAsia="Times New Roman"/>
        </w:rPr>
      </w:pPr>
      <w:r w:rsidRPr="004006BB">
        <w:rPr>
          <w:rFonts w:eastAsia="Times New Roman"/>
        </w:rPr>
        <w:t>The manager should maintain the incident log, record status updates and major decisions, and ensure that recovery and post-incident reviews are completed</w:t>
      </w:r>
      <w:r w:rsidR="006E6298" w:rsidRPr="006E6298">
        <w:rPr>
          <w:rFonts w:eastAsia="Times New Roman"/>
        </w:rPr>
        <w:t>. This removes uncertainty about who can disconnect a server, suspend a vendor connection, or request outside assistance</w:t>
      </w:r>
      <w:r w:rsidR="00371125" w:rsidRPr="00371125">
        <w:rPr>
          <w:rFonts w:eastAsia="Times New Roman"/>
        </w:rPr>
        <w:t xml:space="preserve">. </w:t>
      </w:r>
    </w:p>
    <w:p w14:paraId="34604959" w14:textId="39B7A642" w:rsidR="00371125" w:rsidRPr="00371125" w:rsidRDefault="00F00EFF" w:rsidP="00371125">
      <w:pPr>
        <w:spacing w:before="0" w:after="120" w:line="360" w:lineRule="auto"/>
        <w:rPr>
          <w:rFonts w:eastAsia="Times New Roman"/>
        </w:rPr>
      </w:pPr>
      <w:r w:rsidRPr="00F00EFF">
        <w:rPr>
          <w:rFonts w:eastAsia="Times New Roman"/>
        </w:rPr>
        <w:t>NIST recommends that incident response roles, responsibilities, and authorities be documented and that an incident lead be assigned when an incident is declared</w:t>
      </w:r>
      <w:r>
        <w:rPr>
          <w:rFonts w:eastAsia="Times New Roman"/>
        </w:rPr>
        <w:t xml:space="preserve"> </w:t>
      </w:r>
      <w:r w:rsidR="00371125">
        <w:rPr>
          <w:rFonts w:eastAsia="Times New Roman"/>
        </w:rPr>
        <w:t xml:space="preserve">(Nelson et al., </w:t>
      </w:r>
      <w:r w:rsidR="00371125" w:rsidRPr="00371125">
        <w:rPr>
          <w:rFonts w:eastAsia="Times New Roman"/>
        </w:rPr>
        <w:t>2025).</w:t>
      </w:r>
    </w:p>
    <w:p w14:paraId="4E9697DD" w14:textId="77777777" w:rsidR="006443E9" w:rsidRPr="006443E9" w:rsidRDefault="006443E9" w:rsidP="008B238E">
      <w:pPr>
        <w:pStyle w:val="Heading3"/>
        <w:spacing w:before="240" w:after="120" w:line="240" w:lineRule="auto"/>
        <w:rPr>
          <w:color w:val="auto"/>
        </w:rPr>
      </w:pPr>
      <w:r w:rsidRPr="006443E9">
        <w:rPr>
          <w:rFonts w:ascii="Times New Roman" w:eastAsia="Times New Roman" w:hAnsi="Times New Roman"/>
          <w:b/>
          <w:color w:val="auto"/>
          <w:sz w:val="24"/>
        </w:rPr>
        <w:t>Role 2: Regional Incident Responder</w:t>
      </w:r>
    </w:p>
    <w:p w14:paraId="3ADC3F81" w14:textId="77777777" w:rsidR="00F405F0" w:rsidRPr="00F405F0" w:rsidRDefault="00F405F0" w:rsidP="00F405F0">
      <w:pPr>
        <w:spacing w:before="0" w:after="120" w:line="360" w:lineRule="auto"/>
        <w:rPr>
          <w:rFonts w:eastAsia="Times New Roman"/>
        </w:rPr>
      </w:pPr>
      <w:r w:rsidRPr="00F405F0">
        <w:rPr>
          <w:rFonts w:eastAsia="Times New Roman"/>
        </w:rPr>
        <w:t>GBS should place trained responders in its major regions or obtain equivalent after-hours coverage from a contracted SOC. These responders would monitor alerts outside U.S. business hours, validate alerts, collect initial evidence, isolate affected devices or network ports, notify the Incident Response Manager, and provide a detailed handoff to the incoming team.</w:t>
      </w:r>
    </w:p>
    <w:p w14:paraId="0DB25ED1" w14:textId="448BA39C" w:rsidR="00574AF0" w:rsidRPr="00334ED5" w:rsidRDefault="00F405F0" w:rsidP="006443E9">
      <w:pPr>
        <w:spacing w:before="0" w:after="120" w:line="360" w:lineRule="auto"/>
        <w:rPr>
          <w:rFonts w:eastAsia="Times New Roman"/>
        </w:rPr>
      </w:pPr>
      <w:r w:rsidRPr="00F405F0">
        <w:rPr>
          <w:rFonts w:eastAsia="Times New Roman"/>
        </w:rPr>
        <w:t>They should use the same process and case-management system as the U.S. SOC. This role would correct the current practice of relying on automation and network administrators for international alerts, even though incident response is not their primary duty (WGU, n.d.). NIST notes that response personnel may be internal, contracted, or distributed, but they should operate as one coordinated capability</w:t>
      </w:r>
      <w:r>
        <w:rPr>
          <w:rFonts w:eastAsia="Times New Roman"/>
        </w:rPr>
        <w:t xml:space="preserve"> </w:t>
      </w:r>
      <w:r w:rsidR="00334ED5" w:rsidRPr="00334ED5">
        <w:rPr>
          <w:rFonts w:eastAsia="Times New Roman"/>
        </w:rPr>
        <w:t>(Nelson et al., 2025).</w:t>
      </w:r>
    </w:p>
    <w:p w14:paraId="32349525" w14:textId="388A82D0" w:rsidR="00280795" w:rsidRDefault="00B925B9" w:rsidP="008B238E">
      <w:pPr>
        <w:pStyle w:val="Heading2"/>
        <w:spacing w:before="240" w:after="120" w:line="240" w:lineRule="auto"/>
        <w:rPr>
          <w:rFonts w:ascii="Times New Roman" w:hAnsi="Times New Roman" w:cs="Times New Roman"/>
          <w:b/>
          <w:bCs/>
          <w:color w:val="auto"/>
          <w:sz w:val="25"/>
          <w:szCs w:val="25"/>
        </w:rPr>
      </w:pPr>
      <w:bookmarkStart w:id="11" w:name="_Toc234889400"/>
      <w:r w:rsidRPr="00A32239">
        <w:rPr>
          <w:rFonts w:ascii="Times New Roman" w:hAnsi="Times New Roman" w:cs="Times New Roman"/>
          <w:b/>
          <w:bCs/>
          <w:color w:val="auto"/>
          <w:sz w:val="25"/>
          <w:szCs w:val="25"/>
        </w:rPr>
        <w:t xml:space="preserve">A2a. </w:t>
      </w:r>
      <w:bookmarkEnd w:id="10"/>
      <w:r w:rsidR="00617AAC" w:rsidRPr="00A32239">
        <w:rPr>
          <w:rFonts w:ascii="Times New Roman" w:hAnsi="Times New Roman" w:cs="Times New Roman"/>
          <w:b/>
          <w:bCs/>
          <w:color w:val="auto"/>
          <w:sz w:val="25"/>
          <w:szCs w:val="25"/>
        </w:rPr>
        <w:t>Maintaining Business Continuity</w:t>
      </w:r>
      <w:bookmarkEnd w:id="11"/>
    </w:p>
    <w:p w14:paraId="4F742BCC" w14:textId="77777777" w:rsidR="005C72D9" w:rsidRPr="005C72D9" w:rsidRDefault="005C72D9" w:rsidP="008B238E">
      <w:pPr>
        <w:pStyle w:val="Heading3"/>
        <w:spacing w:before="240" w:after="120" w:line="240" w:lineRule="auto"/>
        <w:rPr>
          <w:color w:val="auto"/>
        </w:rPr>
      </w:pPr>
      <w:r w:rsidRPr="005C72D9">
        <w:rPr>
          <w:rFonts w:ascii="Times New Roman" w:eastAsia="Times New Roman" w:hAnsi="Times New Roman"/>
          <w:b/>
          <w:color w:val="auto"/>
          <w:sz w:val="24"/>
        </w:rPr>
        <w:t>Incident Response Manager and Business Continuity</w:t>
      </w:r>
    </w:p>
    <w:p w14:paraId="36C11763" w14:textId="38D4B550" w:rsidR="005C72D9" w:rsidRPr="00246E91" w:rsidRDefault="00D021DD" w:rsidP="005C72D9">
      <w:pPr>
        <w:spacing w:before="0" w:after="120" w:line="360" w:lineRule="auto"/>
        <w:rPr>
          <w:rFonts w:eastAsia="Times New Roman"/>
        </w:rPr>
      </w:pPr>
      <w:r w:rsidRPr="00D021DD">
        <w:rPr>
          <w:rFonts w:eastAsia="Times New Roman"/>
        </w:rPr>
        <w:t xml:space="preserve">The Incident Response Manager would support business continuity by balancing urgent containment with the need to keep critical functions available. When conditions allow, the manager would coordinate with business owners before taking a critical system offline, identify an alternate way to provide the service, and limit the response to the smallest affected scope. During recovery, the manager would prioritize services according to business continuity and </w:t>
      </w:r>
      <w:r w:rsidRPr="00D021DD">
        <w:rPr>
          <w:rFonts w:eastAsia="Times New Roman"/>
        </w:rPr>
        <w:lastRenderedPageBreak/>
        <w:t>disaster recovery needs. This would reduce the chance that the response causes a larger outage than the incident itself</w:t>
      </w:r>
      <w:r>
        <w:rPr>
          <w:rFonts w:eastAsia="Times New Roman"/>
        </w:rPr>
        <w:t xml:space="preserve"> </w:t>
      </w:r>
      <w:r w:rsidR="005C72D9">
        <w:rPr>
          <w:rFonts w:eastAsia="Times New Roman"/>
        </w:rPr>
        <w:t>(Swanson et al., 2010).</w:t>
      </w:r>
    </w:p>
    <w:p w14:paraId="28AB087C" w14:textId="77777777" w:rsidR="005C72D9" w:rsidRPr="005C72D9" w:rsidRDefault="005C72D9" w:rsidP="008B238E">
      <w:pPr>
        <w:pStyle w:val="Heading3"/>
        <w:spacing w:before="240" w:after="120" w:line="240" w:lineRule="auto"/>
        <w:rPr>
          <w:color w:val="auto"/>
        </w:rPr>
      </w:pPr>
      <w:r w:rsidRPr="005C72D9">
        <w:rPr>
          <w:rFonts w:ascii="Times New Roman" w:eastAsia="Times New Roman" w:hAnsi="Times New Roman"/>
          <w:b/>
          <w:color w:val="auto"/>
          <w:sz w:val="24"/>
        </w:rPr>
        <w:t>Regional Incident Responder and Business Continuity</w:t>
      </w:r>
    </w:p>
    <w:p w14:paraId="44713684" w14:textId="46681693" w:rsidR="005C72D9" w:rsidRPr="006B7698" w:rsidRDefault="006B7135" w:rsidP="005C72D9">
      <w:pPr>
        <w:spacing w:before="0" w:after="120" w:line="360" w:lineRule="auto"/>
        <w:rPr>
          <w:rFonts w:eastAsia="Times New Roman"/>
        </w:rPr>
      </w:pPr>
      <w:r w:rsidRPr="006B7135">
        <w:rPr>
          <w:rFonts w:eastAsia="Times New Roman"/>
        </w:rPr>
        <w:t xml:space="preserve">Regional responders could act while the U.S. SOC is closed. A responder in Singapore or Europe could validate and contain an alert before </w:t>
      </w:r>
      <w:r>
        <w:rPr>
          <w:rFonts w:eastAsia="Times New Roman"/>
        </w:rPr>
        <w:t>a</w:t>
      </w:r>
      <w:r w:rsidRPr="006B7135">
        <w:rPr>
          <w:rFonts w:eastAsia="Times New Roman"/>
        </w:rPr>
        <w:t xml:space="preserve"> compromised account, server, or workstation affects other offices. Faster action reduces the </w:t>
      </w:r>
      <w:r>
        <w:rPr>
          <w:rFonts w:eastAsia="Times New Roman"/>
        </w:rPr>
        <w:t>likelihood that GBS will require broader</w:t>
      </w:r>
      <w:r w:rsidRPr="006B7135">
        <w:rPr>
          <w:rFonts w:eastAsia="Times New Roman"/>
        </w:rPr>
        <w:t xml:space="preserve"> shutdowns or rebuilding. Regional responders can also begin evidence collection, notify local business owners, and provide the Incident Response Manager with </w:t>
      </w:r>
      <w:r>
        <w:rPr>
          <w:rFonts w:eastAsia="Times New Roman"/>
        </w:rPr>
        <w:t>up-to-date information to support</w:t>
      </w:r>
      <w:r w:rsidRPr="006B7135">
        <w:rPr>
          <w:rFonts w:eastAsia="Times New Roman"/>
        </w:rPr>
        <w:t xml:space="preserve"> continuity decisions and shift handoff</w:t>
      </w:r>
      <w:r w:rsidR="005C72D9">
        <w:rPr>
          <w:rFonts w:eastAsia="Times New Roman"/>
        </w:rPr>
        <w:t>.</w:t>
      </w:r>
    </w:p>
    <w:p w14:paraId="7E56CFBB" w14:textId="77777777" w:rsidR="006443E9" w:rsidRPr="006443E9" w:rsidRDefault="006443E9" w:rsidP="006443E9"/>
    <w:p w14:paraId="345E9564" w14:textId="77777777" w:rsidR="00FE64E5" w:rsidRDefault="00FE64E5" w:rsidP="00FE64E5"/>
    <w:p w14:paraId="7273BE8F" w14:textId="5A467F78" w:rsidR="00FE64E5" w:rsidRPr="00FE64E5" w:rsidRDefault="00FE64E5" w:rsidP="00FE64E5">
      <w:r>
        <w:br w:type="page"/>
      </w:r>
    </w:p>
    <w:p w14:paraId="0ED86AEC" w14:textId="3BB72DB6" w:rsidR="00F805BF" w:rsidRDefault="00F805BF" w:rsidP="008B238E">
      <w:pPr>
        <w:pStyle w:val="Heading1"/>
        <w:spacing w:before="240" w:after="120" w:line="240" w:lineRule="auto"/>
        <w:rPr>
          <w:rFonts w:ascii="Times New Roman" w:hAnsi="Times New Roman" w:cs="Times New Roman"/>
          <w:b/>
          <w:bCs/>
          <w:color w:val="auto"/>
          <w:sz w:val="28"/>
          <w:szCs w:val="28"/>
        </w:rPr>
      </w:pPr>
      <w:bookmarkStart w:id="12" w:name="_Toc234860532"/>
      <w:bookmarkStart w:id="13" w:name="_Toc234889401"/>
      <w:r w:rsidRPr="00202027">
        <w:rPr>
          <w:rFonts w:ascii="Times New Roman" w:hAnsi="Times New Roman" w:cs="Times New Roman"/>
          <w:b/>
          <w:bCs/>
          <w:color w:val="auto"/>
          <w:sz w:val="28"/>
          <w:szCs w:val="28"/>
        </w:rPr>
        <w:lastRenderedPageBreak/>
        <w:t xml:space="preserve">A3. </w:t>
      </w:r>
      <w:bookmarkEnd w:id="12"/>
      <w:r w:rsidR="00617AAC" w:rsidRPr="00202027">
        <w:rPr>
          <w:rFonts w:ascii="Times New Roman" w:hAnsi="Times New Roman" w:cs="Times New Roman"/>
          <w:b/>
          <w:bCs/>
          <w:color w:val="auto"/>
          <w:sz w:val="28"/>
          <w:szCs w:val="28"/>
        </w:rPr>
        <w:t>Incident Response Effectiveness Metric</w:t>
      </w:r>
      <w:bookmarkEnd w:id="13"/>
    </w:p>
    <w:p w14:paraId="2A2E631A" w14:textId="27F00773" w:rsidR="00C27A05" w:rsidRPr="00C27A05" w:rsidRDefault="004A2755" w:rsidP="00C27A05">
      <w:pPr>
        <w:spacing w:before="0" w:after="120" w:line="360" w:lineRule="auto"/>
        <w:rPr>
          <w:rFonts w:eastAsia="Times New Roman"/>
        </w:rPr>
      </w:pPr>
      <w:r w:rsidRPr="004A2755">
        <w:rPr>
          <w:rFonts w:eastAsia="Times New Roman"/>
        </w:rPr>
        <w:t>GBS should use mean time to contain (MTTC) as the main metric for the incident response plan. MTTC should be calculated by adding the time from incident validation to confirmed containment for all incidents in a reporting period and dividing by the number of contained incidents. Containment would be confirmed when actions such as isolating a compromised server, blocking a vendor link, and disabling unauthorized sessions or credentials are complete</w:t>
      </w:r>
      <w:r w:rsidR="00C27A05" w:rsidRPr="00C27A05">
        <w:rPr>
          <w:rFonts w:eastAsia="Times New Roman"/>
        </w:rPr>
        <w:t xml:space="preserve">. </w:t>
      </w:r>
    </w:p>
    <w:p w14:paraId="255213FB" w14:textId="7287AFF5" w:rsidR="00C27A05" w:rsidRPr="00C27A05" w:rsidRDefault="00C27A05" w:rsidP="00C27A05">
      <w:pPr>
        <w:spacing w:before="0" w:after="120" w:line="360" w:lineRule="auto"/>
        <w:rPr>
          <w:rFonts w:eastAsia="Times New Roman"/>
        </w:rPr>
      </w:pPr>
      <w:r w:rsidRPr="00C27A05">
        <w:rPr>
          <w:rFonts w:eastAsia="Times New Roman"/>
        </w:rPr>
        <w:t xml:space="preserve">GBS should display the metric broken </w:t>
      </w:r>
      <w:r w:rsidR="00E74325">
        <w:rPr>
          <w:rFonts w:eastAsia="Times New Roman"/>
        </w:rPr>
        <w:t>down by incident severity, region, and business hours vs. after-hours</w:t>
      </w:r>
      <w:r w:rsidRPr="00C27A05">
        <w:rPr>
          <w:rFonts w:eastAsia="Times New Roman"/>
        </w:rPr>
        <w:t xml:space="preserve">, so that strong performance in one segment </w:t>
      </w:r>
      <w:r w:rsidR="00E74325">
        <w:rPr>
          <w:rFonts w:eastAsia="Times New Roman"/>
        </w:rPr>
        <w:t>does not</w:t>
      </w:r>
      <w:r w:rsidRPr="00C27A05">
        <w:rPr>
          <w:rFonts w:eastAsia="Times New Roman"/>
        </w:rPr>
        <w:t xml:space="preserve"> obscure weaknesses in another. This metric makes sense for GBS</w:t>
      </w:r>
      <w:r w:rsidR="00E74325">
        <w:rPr>
          <w:rFonts w:eastAsia="Times New Roman"/>
        </w:rPr>
        <w:t>, since either of the two incidents studied in the case study could cause greater</w:t>
      </w:r>
      <w:r w:rsidRPr="00C27A05">
        <w:rPr>
          <w:rFonts w:eastAsia="Times New Roman"/>
        </w:rPr>
        <w:t xml:space="preserve"> damage if the connection </w:t>
      </w:r>
      <w:r w:rsidR="00E74325">
        <w:rPr>
          <w:rFonts w:eastAsia="Times New Roman"/>
        </w:rPr>
        <w:t>were</w:t>
      </w:r>
      <w:r w:rsidRPr="00C27A05">
        <w:rPr>
          <w:rFonts w:eastAsia="Times New Roman"/>
        </w:rPr>
        <w:t xml:space="preserve"> still live. </w:t>
      </w:r>
      <w:r w:rsidR="001D744E" w:rsidRPr="001D744E">
        <w:rPr>
          <w:rFonts w:eastAsia="Times New Roman"/>
        </w:rPr>
        <w:t>A declining MTTC would show that alerting, authority, staffing, and containment processes are becoming more effective. A rising MTTC would indicate a need for more coverage, automation, clearer approvals, or additional training</w:t>
      </w:r>
      <w:r w:rsidRPr="00C27A05">
        <w:rPr>
          <w:rFonts w:eastAsia="Times New Roman"/>
        </w:rPr>
        <w:t xml:space="preserve">. GBS should establish a </w:t>
      </w:r>
      <w:r w:rsidR="008926AD">
        <w:rPr>
          <w:rFonts w:eastAsia="Times New Roman"/>
        </w:rPr>
        <w:t xml:space="preserve">Q1 baseline, set a target after examining it, and </w:t>
      </w:r>
      <w:r w:rsidR="00E74325">
        <w:rPr>
          <w:rFonts w:eastAsia="Times New Roman"/>
        </w:rPr>
        <w:t>analyze outliers rather than treating the mean as the sole indicator</w:t>
      </w:r>
      <w:r w:rsidRPr="00C27A05">
        <w:rPr>
          <w:rFonts w:eastAsia="Times New Roman"/>
        </w:rPr>
        <w:t xml:space="preserve"> of the outcome. </w:t>
      </w:r>
    </w:p>
    <w:p w14:paraId="58D547EB" w14:textId="109CBC3A" w:rsidR="00C27A05" w:rsidRPr="00C27A05" w:rsidRDefault="00190808" w:rsidP="00C27A05">
      <w:pPr>
        <w:spacing w:before="0" w:after="120" w:line="360" w:lineRule="auto"/>
        <w:rPr>
          <w:rFonts w:eastAsia="Times New Roman"/>
        </w:rPr>
      </w:pPr>
      <w:r w:rsidRPr="00190808">
        <w:rPr>
          <w:rFonts w:eastAsia="Times New Roman"/>
        </w:rPr>
        <w:t>NIST identifies performance measures as part of incident response planning and includes reporting on incident status, assigned actions, and target completion times</w:t>
      </w:r>
      <w:r>
        <w:rPr>
          <w:rFonts w:eastAsia="Times New Roman"/>
        </w:rPr>
        <w:t xml:space="preserve"> </w:t>
      </w:r>
      <w:r w:rsidR="00C27A05" w:rsidRPr="00C27A05">
        <w:rPr>
          <w:rFonts w:eastAsia="Times New Roman"/>
        </w:rPr>
        <w:t>(Nelson et al., 2025).</w:t>
      </w:r>
    </w:p>
    <w:p w14:paraId="39787010" w14:textId="77777777" w:rsidR="00FE64E5" w:rsidRDefault="00FE64E5" w:rsidP="00FE64E5"/>
    <w:p w14:paraId="7FA56695" w14:textId="3EFB2909" w:rsidR="00855AD7" w:rsidRPr="008B238E" w:rsidRDefault="00FE64E5" w:rsidP="008B238E">
      <w:pPr>
        <w:pStyle w:val="Heading1"/>
        <w:rPr>
          <w:rFonts w:ascii="Times New Roman" w:hAnsi="Times New Roman" w:cs="Times New Roman"/>
          <w:b/>
          <w:bCs/>
          <w:color w:val="auto"/>
          <w:sz w:val="28"/>
          <w:szCs w:val="28"/>
        </w:rPr>
      </w:pPr>
      <w:r>
        <w:br w:type="page"/>
      </w:r>
      <w:bookmarkStart w:id="14" w:name="_Toc234860533"/>
      <w:bookmarkStart w:id="15" w:name="_Toc234889402"/>
      <w:r w:rsidR="00855AD7" w:rsidRPr="008B238E">
        <w:rPr>
          <w:rFonts w:ascii="Times New Roman" w:hAnsi="Times New Roman" w:cs="Times New Roman"/>
          <w:b/>
          <w:bCs/>
          <w:color w:val="auto"/>
          <w:sz w:val="28"/>
          <w:szCs w:val="28"/>
        </w:rPr>
        <w:lastRenderedPageBreak/>
        <w:t xml:space="preserve">A4. </w:t>
      </w:r>
      <w:bookmarkEnd w:id="14"/>
      <w:r w:rsidR="00617AAC" w:rsidRPr="008B238E">
        <w:rPr>
          <w:rFonts w:ascii="Times New Roman" w:hAnsi="Times New Roman" w:cs="Times New Roman"/>
          <w:b/>
          <w:bCs/>
          <w:color w:val="auto"/>
          <w:sz w:val="28"/>
          <w:szCs w:val="28"/>
        </w:rPr>
        <w:t>Communication to Stakeholders</w:t>
      </w:r>
      <w:bookmarkEnd w:id="15"/>
    </w:p>
    <w:p w14:paraId="74A88665" w14:textId="72C1CF61" w:rsidR="0082709F" w:rsidRPr="0082709F" w:rsidRDefault="00DA7F64" w:rsidP="0082709F">
      <w:pPr>
        <w:spacing w:before="0" w:after="120" w:line="360" w:lineRule="auto"/>
        <w:rPr>
          <w:rFonts w:eastAsia="Times New Roman"/>
        </w:rPr>
      </w:pPr>
      <w:r w:rsidRPr="00DA7F64">
        <w:rPr>
          <w:rFonts w:eastAsia="Times New Roman"/>
        </w:rPr>
        <w:t>Before an incident occurs, senior leadership should approve the plan and store a controlled copy that remains accessible if network services become unavailable</w:t>
      </w:r>
      <w:r w:rsidR="0082709F" w:rsidRPr="0082709F">
        <w:rPr>
          <w:rFonts w:eastAsia="Times New Roman"/>
        </w:rPr>
        <w:t xml:space="preserve">. This control version should </w:t>
      </w:r>
      <w:r w:rsidR="0082709F">
        <w:rPr>
          <w:rFonts w:eastAsia="Times New Roman"/>
        </w:rPr>
        <w:t>include a notification matrix, current points of contact, definitions for each incident level</w:t>
      </w:r>
      <w:r w:rsidR="0082709F" w:rsidRPr="0082709F">
        <w:rPr>
          <w:rFonts w:eastAsia="Times New Roman"/>
        </w:rPr>
        <w:t xml:space="preserve">, authority levels, authorized means of communication, and alternate contacts. Members of the SOC, regional response team, network and system teams, legal and compliance, human resources, business continuity team, the public relations team, and business owners should each be sent the applicable section of the control document for </w:t>
      </w:r>
      <w:r w:rsidR="0082709F">
        <w:rPr>
          <w:rFonts w:eastAsia="Times New Roman"/>
        </w:rPr>
        <w:t>their</w:t>
      </w:r>
      <w:r w:rsidR="0082709F" w:rsidRPr="0082709F">
        <w:rPr>
          <w:rFonts w:eastAsia="Times New Roman"/>
        </w:rPr>
        <w:t xml:space="preserve"> respective roles. </w:t>
      </w:r>
      <w:r w:rsidR="008D6159" w:rsidRPr="008D6159">
        <w:rPr>
          <w:rFonts w:eastAsia="Times New Roman"/>
        </w:rPr>
        <w:t>Everyone with an assigned responsibility should acknowledge the plan, complete role-based training, and participate in tabletop exercises</w:t>
      </w:r>
      <w:r w:rsidR="0082709F" w:rsidRPr="0082709F">
        <w:rPr>
          <w:rFonts w:eastAsia="Times New Roman"/>
        </w:rPr>
        <w:t>.</w:t>
      </w:r>
    </w:p>
    <w:p w14:paraId="0038C0A3" w14:textId="4B7955A7" w:rsidR="0082709F" w:rsidRPr="0082709F" w:rsidRDefault="0082709F" w:rsidP="0082709F">
      <w:pPr>
        <w:spacing w:before="0" w:after="120" w:line="360" w:lineRule="auto"/>
        <w:rPr>
          <w:rFonts w:eastAsia="Times New Roman"/>
        </w:rPr>
      </w:pPr>
      <w:r w:rsidRPr="0082709F">
        <w:rPr>
          <w:rFonts w:eastAsia="Times New Roman"/>
        </w:rPr>
        <w:t xml:space="preserve">Once an incident </w:t>
      </w:r>
      <w:r>
        <w:rPr>
          <w:rFonts w:eastAsia="Times New Roman"/>
        </w:rPr>
        <w:t xml:space="preserve">occurs, </w:t>
      </w:r>
      <w:r w:rsidR="00AA011C" w:rsidRPr="00AA011C">
        <w:rPr>
          <w:rFonts w:eastAsia="Times New Roman"/>
        </w:rPr>
        <w:t>the Incident Response Manager should consult the notification matrix and contact the required stakeholders based on the incident’s severity and type</w:t>
      </w:r>
      <w:r w:rsidRPr="0082709F">
        <w:rPr>
          <w:rFonts w:eastAsia="Times New Roman"/>
        </w:rPr>
        <w:t xml:space="preserve">. A secure incident channel should be </w:t>
      </w:r>
      <w:r>
        <w:rPr>
          <w:rFonts w:eastAsia="Times New Roman"/>
        </w:rPr>
        <w:t>used, and all activity should be managed on a single case record rather than disparate email and text chains to track decision-making, evidence collection, actions taken, and current status</w:t>
      </w:r>
      <w:r w:rsidRPr="0082709F">
        <w:rPr>
          <w:rFonts w:eastAsia="Times New Roman"/>
        </w:rPr>
        <w:t>. Senior management should receive a regular</w:t>
      </w:r>
      <w:r>
        <w:rPr>
          <w:rFonts w:eastAsia="Times New Roman"/>
        </w:rPr>
        <w:t>,</w:t>
      </w:r>
      <w:r w:rsidRPr="0082709F">
        <w:rPr>
          <w:rFonts w:eastAsia="Times New Roman"/>
        </w:rPr>
        <w:t xml:space="preserve"> concise summary</w:t>
      </w:r>
      <w:r>
        <w:rPr>
          <w:rFonts w:eastAsia="Times New Roman"/>
        </w:rPr>
        <w:t xml:space="preserve"> that </w:t>
      </w:r>
      <w:r w:rsidR="005F06D7">
        <w:rPr>
          <w:rFonts w:eastAsia="Times New Roman"/>
        </w:rPr>
        <w:t>covers the business implications, progress in containing the incident, key decisions requiring their approval, and next steps</w:t>
      </w:r>
      <w:r w:rsidRPr="0082709F">
        <w:rPr>
          <w:rFonts w:eastAsia="Times New Roman"/>
        </w:rPr>
        <w:t xml:space="preserve">. Legal and compliance will </w:t>
      </w:r>
      <w:r>
        <w:rPr>
          <w:rFonts w:eastAsia="Times New Roman"/>
        </w:rPr>
        <w:t xml:space="preserve">be responsible for determining whether regulators, </w:t>
      </w:r>
      <w:r w:rsidR="00761289">
        <w:rPr>
          <w:rFonts w:eastAsia="Times New Roman"/>
        </w:rPr>
        <w:t>law enforcement</w:t>
      </w:r>
      <w:r>
        <w:rPr>
          <w:rFonts w:eastAsia="Times New Roman"/>
        </w:rPr>
        <w:t xml:space="preserve">, customers, employees, or any business partners </w:t>
      </w:r>
      <w:r w:rsidRPr="0082709F">
        <w:rPr>
          <w:rFonts w:eastAsia="Times New Roman"/>
        </w:rPr>
        <w:t xml:space="preserve">need to be notified of the incident. </w:t>
      </w:r>
      <w:r w:rsidR="005F06D7">
        <w:rPr>
          <w:rFonts w:eastAsia="Times New Roman"/>
        </w:rPr>
        <w:t>The PR team should provide statements to the media or the public, rather than having a technical expert offer</w:t>
      </w:r>
      <w:r w:rsidRPr="0082709F">
        <w:rPr>
          <w:rFonts w:eastAsia="Times New Roman"/>
        </w:rPr>
        <w:t xml:space="preserve"> incorrect or incomplete information (Nelson et al., 2025).</w:t>
      </w:r>
    </w:p>
    <w:p w14:paraId="5A4E3998" w14:textId="77777777" w:rsidR="006D4777" w:rsidRDefault="0082709F" w:rsidP="005E01E4">
      <w:pPr>
        <w:spacing w:before="0" w:after="120" w:line="360" w:lineRule="auto"/>
        <w:rPr>
          <w:rFonts w:eastAsia="Times New Roman"/>
        </w:rPr>
      </w:pPr>
      <w:r w:rsidRPr="0082709F">
        <w:rPr>
          <w:rFonts w:eastAsia="Times New Roman"/>
        </w:rPr>
        <w:t>Once the systems are back online</w:t>
      </w:r>
      <w:r>
        <w:rPr>
          <w:rFonts w:eastAsia="Times New Roman"/>
        </w:rPr>
        <w:t>,</w:t>
      </w:r>
      <w:r w:rsidRPr="0082709F">
        <w:rPr>
          <w:rFonts w:eastAsia="Times New Roman"/>
        </w:rPr>
        <w:t xml:space="preserve"> GBS will host an after-action review meeting </w:t>
      </w:r>
      <w:r>
        <w:rPr>
          <w:rFonts w:eastAsia="Times New Roman"/>
        </w:rPr>
        <w:t xml:space="preserve">with all </w:t>
      </w:r>
      <w:r w:rsidRPr="0082709F">
        <w:rPr>
          <w:rFonts w:eastAsia="Times New Roman"/>
        </w:rPr>
        <w:t xml:space="preserve">personnel involved in the incident. This review will detail what happened, what prevented an immediate response, what was done well, and where the existing plans need </w:t>
      </w:r>
      <w:r>
        <w:rPr>
          <w:rFonts w:eastAsia="Times New Roman"/>
        </w:rPr>
        <w:t>to be modified</w:t>
      </w:r>
      <w:r w:rsidRPr="0082709F">
        <w:rPr>
          <w:rFonts w:eastAsia="Times New Roman"/>
        </w:rPr>
        <w:t>.</w:t>
      </w:r>
    </w:p>
    <w:p w14:paraId="249FA6DF" w14:textId="15C24E9A" w:rsidR="00FE64E5" w:rsidRPr="0082709F" w:rsidRDefault="00B13B93" w:rsidP="005E01E4">
      <w:pPr>
        <w:spacing w:before="0" w:after="120" w:line="360" w:lineRule="auto"/>
        <w:rPr>
          <w:rFonts w:eastAsia="Times New Roman"/>
        </w:rPr>
      </w:pPr>
      <w:r w:rsidRPr="00B13B93">
        <w:rPr>
          <w:rFonts w:eastAsia="Times New Roman"/>
        </w:rPr>
        <w:t>Once the agreed changes are approved, they should be added to the controlled plan, provided to the affected stakeholders, and included in the next exercise. This ensures that lessons learned are added to the plan and tested before another incident occurs</w:t>
      </w:r>
      <w:r w:rsidR="0082709F" w:rsidRPr="0082709F">
        <w:rPr>
          <w:rFonts w:eastAsia="Times New Roman"/>
        </w:rPr>
        <w:t>.</w:t>
      </w:r>
    </w:p>
    <w:p w14:paraId="2C855068" w14:textId="20A938C5" w:rsidR="00617AAC" w:rsidRPr="008B238E" w:rsidRDefault="00FE64E5" w:rsidP="008B238E">
      <w:pPr>
        <w:pStyle w:val="Heading1"/>
        <w:spacing w:before="240" w:after="120" w:line="240" w:lineRule="auto"/>
        <w:rPr>
          <w:rFonts w:ascii="Times New Roman" w:hAnsi="Times New Roman" w:cs="Times New Roman"/>
          <w:b/>
          <w:bCs/>
          <w:sz w:val="28"/>
          <w:szCs w:val="28"/>
        </w:rPr>
      </w:pPr>
      <w:r>
        <w:br w:type="page"/>
      </w:r>
      <w:bookmarkStart w:id="16" w:name="_Toc234889403"/>
      <w:r w:rsidR="00617AAC" w:rsidRPr="008B238E">
        <w:rPr>
          <w:rFonts w:ascii="Times New Roman" w:hAnsi="Times New Roman" w:cs="Times New Roman"/>
          <w:b/>
          <w:bCs/>
          <w:color w:val="auto"/>
          <w:sz w:val="28"/>
          <w:szCs w:val="28"/>
        </w:rPr>
        <w:lastRenderedPageBreak/>
        <w:t>Conclusion</w:t>
      </w:r>
      <w:bookmarkEnd w:id="16"/>
    </w:p>
    <w:p w14:paraId="207456BD" w14:textId="35543472" w:rsidR="00315F44" w:rsidRPr="00315F44" w:rsidRDefault="00315F44" w:rsidP="00315F44">
      <w:pPr>
        <w:spacing w:before="0" w:after="120" w:line="360" w:lineRule="auto"/>
        <w:rPr>
          <w:rFonts w:eastAsia="Times New Roman"/>
        </w:rPr>
      </w:pPr>
      <w:r w:rsidRPr="00315F44">
        <w:rPr>
          <w:rFonts w:eastAsia="Times New Roman"/>
        </w:rPr>
        <w:t xml:space="preserve">GBS needs an incident response plan that addresses its vendor connections, phishing exposure, and limited after-hours security coverage. Network monitoring and SIEM correlation would help detect abnormal vendor activity, while email security and EDR would </w:t>
      </w:r>
      <w:r>
        <w:rPr>
          <w:rFonts w:eastAsia="Times New Roman"/>
        </w:rPr>
        <w:t>help identify phishing messages and unauthorized remote access</w:t>
      </w:r>
      <w:r w:rsidRPr="00315F44">
        <w:rPr>
          <w:rFonts w:eastAsia="Times New Roman"/>
        </w:rPr>
        <w:t xml:space="preserve"> software. Isolating only the affected server, endpoint, account, or vendor connection would contain an incident while keeping unrelated operations available.</w:t>
      </w:r>
    </w:p>
    <w:p w14:paraId="7EC435EF" w14:textId="086FE51E" w:rsidR="004E516C" w:rsidRPr="000F7F54" w:rsidRDefault="00315F44" w:rsidP="004E516C">
      <w:pPr>
        <w:spacing w:before="0" w:after="120" w:line="360" w:lineRule="auto"/>
        <w:rPr>
          <w:rFonts w:eastAsia="Times New Roman"/>
        </w:rPr>
      </w:pPr>
      <w:r w:rsidRPr="00315F44">
        <w:rPr>
          <w:rFonts w:eastAsia="Times New Roman"/>
        </w:rPr>
        <w:t>An Incident Response Manager and regional responders would provide clear authority and after-hours coverage. MTTC would show whether containment is becoming faster, and a controlled communication process would keep leadership, employees, vendors, customers, and regulators informed without conflicting messages</w:t>
      </w:r>
      <w:r w:rsidR="000F7F54" w:rsidRPr="000F7F54">
        <w:rPr>
          <w:rFonts w:eastAsia="Times New Roman"/>
        </w:rPr>
        <w:t>.</w:t>
      </w:r>
    </w:p>
    <w:p w14:paraId="3B8D24EC" w14:textId="77777777" w:rsidR="00FE64E5" w:rsidRDefault="00FE64E5" w:rsidP="00FE64E5"/>
    <w:p w14:paraId="554D97C8" w14:textId="13FE91F6" w:rsidR="00FE64E5" w:rsidRPr="00FE64E5" w:rsidRDefault="00FE64E5" w:rsidP="00FE64E5">
      <w:r>
        <w:br w:type="page"/>
      </w:r>
    </w:p>
    <w:p w14:paraId="4C475493" w14:textId="70DFFFF6" w:rsidR="0026244D" w:rsidRPr="00A93DA8" w:rsidRDefault="004F2D63" w:rsidP="005D2D0A">
      <w:pPr>
        <w:pStyle w:val="Heading1"/>
        <w:numPr>
          <w:ilvl w:val="0"/>
          <w:numId w:val="5"/>
        </w:numPr>
        <w:spacing w:before="240" w:after="120" w:line="240" w:lineRule="atLeast"/>
        <w:ind w:left="360"/>
        <w:rPr>
          <w:rFonts w:ascii="Times New Roman" w:hAnsi="Times New Roman" w:cs="Times New Roman"/>
          <w:b/>
          <w:bCs/>
          <w:color w:val="auto"/>
          <w:sz w:val="28"/>
          <w:szCs w:val="28"/>
        </w:rPr>
      </w:pPr>
      <w:bookmarkStart w:id="17" w:name="_Toc234860534"/>
      <w:bookmarkStart w:id="18" w:name="_Toc234889404"/>
      <w:r w:rsidRPr="00A93DA8">
        <w:rPr>
          <w:rFonts w:ascii="Times New Roman" w:hAnsi="Times New Roman" w:cs="Times New Roman"/>
          <w:b/>
          <w:bCs/>
          <w:color w:val="auto"/>
          <w:sz w:val="28"/>
          <w:szCs w:val="28"/>
        </w:rPr>
        <w:lastRenderedPageBreak/>
        <w:t>References</w:t>
      </w:r>
      <w:bookmarkEnd w:id="17"/>
      <w:bookmarkEnd w:id="18"/>
    </w:p>
    <w:sdt>
      <w:sdtPr>
        <w:id w:val="-1483841631"/>
        <w:docPartObj>
          <w:docPartGallery w:val="Bibliographies"/>
          <w:docPartUnique/>
        </w:docPartObj>
      </w:sdtPr>
      <w:sdtContent>
        <w:sdt>
          <w:sdtPr>
            <w:id w:val="-573587230"/>
            <w:bibliography/>
          </w:sdtPr>
          <w:sdtContent>
            <w:p w14:paraId="554D626C" w14:textId="77777777" w:rsidR="009B3239" w:rsidRPr="009B3239" w:rsidRDefault="009B3239" w:rsidP="009B3239">
              <w:pPr>
                <w:pStyle w:val="Bibliography"/>
                <w:spacing w:before="0" w:after="0" w:line="480" w:lineRule="auto"/>
                <w:ind w:left="720" w:hanging="720"/>
              </w:pPr>
              <w:r w:rsidRPr="009B3239">
                <w:t xml:space="preserve">Nelson, A., Rekhi, S., Souppaya, M., &amp; Scarfone, K. (2025). </w:t>
              </w:r>
              <w:r w:rsidRPr="009B3239">
                <w:rPr>
                  <w:i/>
                  <w:iCs/>
                </w:rPr>
                <w:t>Incident response recommendations and considerations for cybersecurity risk management: A CSF 2.0 community profile</w:t>
              </w:r>
              <w:r w:rsidRPr="009B3239">
                <w:t xml:space="preserve"> (NIST Special Publication 800-61, Revision 3). https://doi.org/10.6028/NIST.SP.800-61r3</w:t>
              </w:r>
            </w:p>
            <w:p w14:paraId="14C59C7C" w14:textId="77777777" w:rsidR="009B3239" w:rsidRPr="009B3239" w:rsidRDefault="009B3239" w:rsidP="009B3239">
              <w:pPr>
                <w:pStyle w:val="Bibliography"/>
                <w:spacing w:before="0" w:after="0" w:line="480" w:lineRule="auto"/>
                <w:ind w:left="720" w:hanging="720"/>
              </w:pPr>
              <w:r w:rsidRPr="009B3239">
                <w:t xml:space="preserve">Scarfone, K., &amp; Hoffman, P. (2009). </w:t>
              </w:r>
              <w:r w:rsidRPr="009B3239">
                <w:rPr>
                  <w:i/>
                  <w:iCs/>
                </w:rPr>
                <w:t>Guidelines on firewalls and firewall policy</w:t>
              </w:r>
              <w:r w:rsidRPr="009B3239">
                <w:t xml:space="preserve"> (NIST Special Publication 800-41, Revision 1). National Institute of Standards and Technology. https://doi.org/10.6028/NIST.SP.800-41r1</w:t>
              </w:r>
            </w:p>
            <w:p w14:paraId="7C10ECF4" w14:textId="77777777" w:rsidR="009B3239" w:rsidRPr="009B3239" w:rsidRDefault="009B3239" w:rsidP="009B3239">
              <w:pPr>
                <w:pStyle w:val="Bibliography"/>
                <w:spacing w:before="0" w:after="0" w:line="480" w:lineRule="auto"/>
                <w:ind w:left="720" w:hanging="720"/>
              </w:pPr>
              <w:r w:rsidRPr="009B3239">
                <w:t xml:space="preserve">Swanson, M., Bowen, P., Phillips, A., Gallup, D., &amp; Lynes, D. (2010). </w:t>
              </w:r>
              <w:r w:rsidRPr="009B3239">
                <w:rPr>
                  <w:i/>
                  <w:iCs/>
                </w:rPr>
                <w:t>Contingency planning guide for federal information systems</w:t>
              </w:r>
              <w:r w:rsidRPr="009B3239">
                <w:t xml:space="preserve"> (NIST Special Publication 800-34, Revision 1). https://doi.org/10.6028/NIST.SP.800-34r1</w:t>
              </w:r>
            </w:p>
            <w:p w14:paraId="305F376A" w14:textId="77777777" w:rsidR="009B3239" w:rsidRPr="009B3239" w:rsidRDefault="009B3239" w:rsidP="009B3239">
              <w:pPr>
                <w:pStyle w:val="Bibliography"/>
                <w:spacing w:before="0" w:after="0" w:line="480" w:lineRule="auto"/>
                <w:ind w:left="720" w:hanging="720"/>
              </w:pPr>
              <w:r w:rsidRPr="009B3239">
                <w:t xml:space="preserve">Western Governors University. (n.d.). </w:t>
              </w:r>
              <w:r w:rsidRPr="009B3239">
                <w:rPr>
                  <w:i/>
                  <w:iCs/>
                </w:rPr>
                <w:t>D832 case study 5: GlobalBiz Solutions Inc.</w:t>
              </w:r>
              <w:r w:rsidRPr="009B3239">
                <w:t xml:space="preserve"> [Course case study].</w:t>
              </w:r>
            </w:p>
            <w:p w14:paraId="67C11A4E" w14:textId="4FDDB134" w:rsidR="002D11CC" w:rsidRDefault="00000000" w:rsidP="009B3239">
              <w:pPr>
                <w:pStyle w:val="Bibliography"/>
                <w:spacing w:before="0" w:after="0" w:line="480" w:lineRule="auto"/>
                <w:ind w:left="720" w:hanging="720"/>
              </w:pPr>
            </w:p>
          </w:sdtContent>
        </w:sdt>
      </w:sdtContent>
    </w:sdt>
    <w:p w14:paraId="1B27396D" w14:textId="28324A5C" w:rsidR="000554AC" w:rsidRPr="009A3579" w:rsidRDefault="000554AC" w:rsidP="00814542">
      <w:pPr>
        <w:spacing w:before="240" w:after="120" w:line="240" w:lineRule="auto"/>
        <w:rPr>
          <w:b/>
          <w:bCs/>
        </w:rPr>
      </w:pPr>
    </w:p>
    <w:sectPr w:rsidR="000554AC" w:rsidRPr="009A3579" w:rsidSect="00960D5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D7582" w14:textId="77777777" w:rsidR="00A46CCC" w:rsidRDefault="00A46CCC" w:rsidP="00960D56">
      <w:pPr>
        <w:spacing w:before="0" w:after="0" w:line="240" w:lineRule="auto"/>
      </w:pPr>
      <w:r>
        <w:separator/>
      </w:r>
    </w:p>
  </w:endnote>
  <w:endnote w:type="continuationSeparator" w:id="0">
    <w:p w14:paraId="11F6B563" w14:textId="77777777" w:rsidR="00A46CCC" w:rsidRDefault="00A46CCC" w:rsidP="00960D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755029"/>
      <w:docPartObj>
        <w:docPartGallery w:val="Page Numbers (Bottom of Page)"/>
        <w:docPartUnique/>
      </w:docPartObj>
    </w:sdtPr>
    <w:sdtEndPr>
      <w:rPr>
        <w:noProof/>
        <w:sz w:val="20"/>
        <w:szCs w:val="20"/>
      </w:rPr>
    </w:sdtEndPr>
    <w:sdtContent>
      <w:p w14:paraId="11B45941" w14:textId="3DB32AD8" w:rsidR="00126E22" w:rsidRPr="00126E22" w:rsidRDefault="00126E22">
        <w:pPr>
          <w:pStyle w:val="Footer"/>
          <w:jc w:val="right"/>
          <w:rPr>
            <w:sz w:val="20"/>
            <w:szCs w:val="20"/>
          </w:rPr>
        </w:pPr>
        <w:r w:rsidRPr="00126E22">
          <w:rPr>
            <w:sz w:val="20"/>
            <w:szCs w:val="20"/>
          </w:rPr>
          <w:fldChar w:fldCharType="begin"/>
        </w:r>
        <w:r w:rsidRPr="00126E22">
          <w:rPr>
            <w:sz w:val="20"/>
            <w:szCs w:val="20"/>
          </w:rPr>
          <w:instrText xml:space="preserve"> PAGE   \* MERGEFORMAT </w:instrText>
        </w:r>
        <w:r w:rsidRPr="00126E22">
          <w:rPr>
            <w:sz w:val="20"/>
            <w:szCs w:val="20"/>
          </w:rPr>
          <w:fldChar w:fldCharType="separate"/>
        </w:r>
        <w:r w:rsidRPr="00126E22">
          <w:rPr>
            <w:noProof/>
            <w:sz w:val="20"/>
            <w:szCs w:val="20"/>
          </w:rPr>
          <w:t>2</w:t>
        </w:r>
        <w:r w:rsidRPr="00126E22">
          <w:rPr>
            <w:noProof/>
            <w:sz w:val="20"/>
            <w:szCs w:val="20"/>
          </w:rPr>
          <w:fldChar w:fldCharType="end"/>
        </w:r>
      </w:p>
    </w:sdtContent>
  </w:sdt>
  <w:p w14:paraId="10C95F39" w14:textId="77777777" w:rsidR="00126E22" w:rsidRDefault="00126E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8DB7" w14:textId="77777777" w:rsidR="00A46CCC" w:rsidRDefault="00A46CCC" w:rsidP="00960D56">
      <w:pPr>
        <w:spacing w:before="0" w:after="0" w:line="240" w:lineRule="auto"/>
      </w:pPr>
      <w:r>
        <w:separator/>
      </w:r>
    </w:p>
  </w:footnote>
  <w:footnote w:type="continuationSeparator" w:id="0">
    <w:p w14:paraId="45389ECB" w14:textId="77777777" w:rsidR="00A46CCC" w:rsidRDefault="00A46CCC" w:rsidP="00960D5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B9987" w14:textId="7B64B2E5" w:rsidR="00960D56" w:rsidRPr="00F95516" w:rsidRDefault="00CC6C82" w:rsidP="00A27E03">
    <w:pPr>
      <w:pStyle w:val="Header"/>
      <w:spacing w:before="40" w:after="40" w:line="300" w:lineRule="atLeast"/>
      <w:jc w:val="center"/>
      <w:rPr>
        <w:b/>
        <w:bCs/>
        <w:sz w:val="20"/>
        <w:szCs w:val="20"/>
      </w:rPr>
    </w:pPr>
    <w:r w:rsidRPr="00CC6C82">
      <w:rPr>
        <w:b/>
        <w:bCs/>
        <w:sz w:val="20"/>
        <w:szCs w:val="20"/>
      </w:rPr>
      <w:t>RSN1 — Task 2</w:t>
    </w:r>
    <w:r w:rsidR="00F95516">
      <w:rPr>
        <w:b/>
        <w:bCs/>
        <w:sz w:val="20"/>
        <w:szCs w:val="20"/>
      </w:rPr>
      <w:t xml:space="preserve"> </w:t>
    </w:r>
    <w:r w:rsidR="00960D56" w:rsidRPr="003930B0">
      <w:rPr>
        <w:b/>
        <w:bCs/>
        <w:sz w:val="20"/>
        <w:szCs w:val="20"/>
      </w:rPr>
      <w:t xml:space="preserve">| GlobalBiz Solutions Inc. | Student ID: </w:t>
    </w:r>
    <w:r w:rsidR="00960D56">
      <w:rPr>
        <w:b/>
        <w:bCs/>
        <w:sz w:val="20"/>
        <w:szCs w:val="20"/>
      </w:rPr>
      <w:t>012396902</w:t>
    </w:r>
  </w:p>
  <w:p w14:paraId="6D8EAD74" w14:textId="77777777" w:rsidR="00960D56" w:rsidRDefault="00960D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5D6C"/>
    <w:multiLevelType w:val="hybridMultilevel"/>
    <w:tmpl w:val="10D650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21B22"/>
    <w:multiLevelType w:val="hybridMultilevel"/>
    <w:tmpl w:val="07D4B12A"/>
    <w:lvl w:ilvl="0" w:tplc="43D81A6C">
      <w:start w:val="1"/>
      <w:numFmt w:val="upperLetter"/>
      <w:lvlText w:val="%1."/>
      <w:lvlJc w:val="left"/>
      <w:pPr>
        <w:ind w:left="720" w:hanging="360"/>
      </w:pPr>
      <w:rPr>
        <w:rFonts w:ascii="Times New Roman" w:eastAsiaTheme="minorHAnsi" w:hAnsi="Times New Roman" w:cs="Times New Roman" w:hint="default"/>
        <w:b/>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524645"/>
    <w:multiLevelType w:val="hybridMultilevel"/>
    <w:tmpl w:val="18BC37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016AEC"/>
    <w:multiLevelType w:val="hybridMultilevel"/>
    <w:tmpl w:val="32CABC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4950B3"/>
    <w:multiLevelType w:val="hybridMultilevel"/>
    <w:tmpl w:val="5DEECB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E85FAD"/>
    <w:multiLevelType w:val="hybridMultilevel"/>
    <w:tmpl w:val="D7627262"/>
    <w:lvl w:ilvl="0" w:tplc="81B681E6">
      <w:start w:val="1"/>
      <w:numFmt w:val="upperLetter"/>
      <w:lvlText w:val="%1."/>
      <w:lvlJc w:val="left"/>
      <w:pPr>
        <w:ind w:left="720" w:hanging="360"/>
      </w:pPr>
      <w:rPr>
        <w:rFonts w:ascii="Times New Roman" w:eastAsiaTheme="minorHAnsi" w:hAnsi="Times New Roman" w:cs="Times New Roman" w:hint="default"/>
        <w:b/>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8843BE"/>
    <w:multiLevelType w:val="hybridMultilevel"/>
    <w:tmpl w:val="88D28AD6"/>
    <w:lvl w:ilvl="0" w:tplc="04090015">
      <w:start w:val="1"/>
      <w:numFmt w:val="upperLetter"/>
      <w:lvlText w:val="%1."/>
      <w:lvlJc w:val="left"/>
      <w:pPr>
        <w:ind w:left="324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7BE727B7"/>
    <w:multiLevelType w:val="hybridMultilevel"/>
    <w:tmpl w:val="6382EC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614901">
    <w:abstractNumId w:val="0"/>
  </w:num>
  <w:num w:numId="2" w16cid:durableId="480926647">
    <w:abstractNumId w:val="6"/>
  </w:num>
  <w:num w:numId="3" w16cid:durableId="2119136316">
    <w:abstractNumId w:val="4"/>
  </w:num>
  <w:num w:numId="4" w16cid:durableId="1010134172">
    <w:abstractNumId w:val="3"/>
  </w:num>
  <w:num w:numId="5" w16cid:durableId="1273627584">
    <w:abstractNumId w:val="7"/>
  </w:num>
  <w:num w:numId="6" w16cid:durableId="1642464133">
    <w:abstractNumId w:val="2"/>
  </w:num>
  <w:num w:numId="7" w16cid:durableId="1735933156">
    <w:abstractNumId w:val="5"/>
  </w:num>
  <w:num w:numId="8" w16cid:durableId="493185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14"/>
    <w:rsid w:val="000112CE"/>
    <w:rsid w:val="00014FAD"/>
    <w:rsid w:val="000349FF"/>
    <w:rsid w:val="000554AC"/>
    <w:rsid w:val="0005727D"/>
    <w:rsid w:val="00063698"/>
    <w:rsid w:val="000C54DF"/>
    <w:rsid w:val="000D772D"/>
    <w:rsid w:val="000E0B7E"/>
    <w:rsid w:val="000F7F54"/>
    <w:rsid w:val="00122934"/>
    <w:rsid w:val="00126E22"/>
    <w:rsid w:val="00190808"/>
    <w:rsid w:val="0019736E"/>
    <w:rsid w:val="001A18AB"/>
    <w:rsid w:val="001D744E"/>
    <w:rsid w:val="00202027"/>
    <w:rsid w:val="00246E91"/>
    <w:rsid w:val="0026244D"/>
    <w:rsid w:val="00280795"/>
    <w:rsid w:val="002C362E"/>
    <w:rsid w:val="002D11CC"/>
    <w:rsid w:val="00315F44"/>
    <w:rsid w:val="003257ED"/>
    <w:rsid w:val="00334ED5"/>
    <w:rsid w:val="00345F67"/>
    <w:rsid w:val="003535FB"/>
    <w:rsid w:val="00371125"/>
    <w:rsid w:val="003773D5"/>
    <w:rsid w:val="003A485E"/>
    <w:rsid w:val="003A4D92"/>
    <w:rsid w:val="003E7A14"/>
    <w:rsid w:val="004006BB"/>
    <w:rsid w:val="004739BB"/>
    <w:rsid w:val="004A2755"/>
    <w:rsid w:val="004B5BA8"/>
    <w:rsid w:val="004D54EA"/>
    <w:rsid w:val="004E294C"/>
    <w:rsid w:val="004E516C"/>
    <w:rsid w:val="004E5E4D"/>
    <w:rsid w:val="004F15A8"/>
    <w:rsid w:val="004F2D63"/>
    <w:rsid w:val="004F328D"/>
    <w:rsid w:val="00525A95"/>
    <w:rsid w:val="0056334F"/>
    <w:rsid w:val="00574AF0"/>
    <w:rsid w:val="00592E4E"/>
    <w:rsid w:val="005A2F86"/>
    <w:rsid w:val="005C4388"/>
    <w:rsid w:val="005C72D9"/>
    <w:rsid w:val="005D2D0A"/>
    <w:rsid w:val="005E01E4"/>
    <w:rsid w:val="005F06D7"/>
    <w:rsid w:val="00606B73"/>
    <w:rsid w:val="00617AAC"/>
    <w:rsid w:val="006443E9"/>
    <w:rsid w:val="00657CA3"/>
    <w:rsid w:val="006A7B10"/>
    <w:rsid w:val="006B7135"/>
    <w:rsid w:val="006B7698"/>
    <w:rsid w:val="006D4777"/>
    <w:rsid w:val="006E6298"/>
    <w:rsid w:val="0070251A"/>
    <w:rsid w:val="00753DB0"/>
    <w:rsid w:val="00761289"/>
    <w:rsid w:val="007D0E50"/>
    <w:rsid w:val="007E3387"/>
    <w:rsid w:val="007E3D50"/>
    <w:rsid w:val="00814542"/>
    <w:rsid w:val="00824E37"/>
    <w:rsid w:val="0082709F"/>
    <w:rsid w:val="00845EC5"/>
    <w:rsid w:val="00855AD7"/>
    <w:rsid w:val="008926AD"/>
    <w:rsid w:val="008B238E"/>
    <w:rsid w:val="008B5C8E"/>
    <w:rsid w:val="008D6159"/>
    <w:rsid w:val="00923472"/>
    <w:rsid w:val="00930B93"/>
    <w:rsid w:val="00957461"/>
    <w:rsid w:val="00960D56"/>
    <w:rsid w:val="00991097"/>
    <w:rsid w:val="00996438"/>
    <w:rsid w:val="009A3579"/>
    <w:rsid w:val="009B3239"/>
    <w:rsid w:val="009D7092"/>
    <w:rsid w:val="00A105CF"/>
    <w:rsid w:val="00A14734"/>
    <w:rsid w:val="00A27E03"/>
    <w:rsid w:val="00A32239"/>
    <w:rsid w:val="00A46CCC"/>
    <w:rsid w:val="00A47B2B"/>
    <w:rsid w:val="00A53B38"/>
    <w:rsid w:val="00A56176"/>
    <w:rsid w:val="00A608D6"/>
    <w:rsid w:val="00A8778E"/>
    <w:rsid w:val="00A93DA8"/>
    <w:rsid w:val="00AA011C"/>
    <w:rsid w:val="00AD345B"/>
    <w:rsid w:val="00B13B93"/>
    <w:rsid w:val="00B21301"/>
    <w:rsid w:val="00B23B61"/>
    <w:rsid w:val="00B27159"/>
    <w:rsid w:val="00B331F7"/>
    <w:rsid w:val="00B5316E"/>
    <w:rsid w:val="00B57E22"/>
    <w:rsid w:val="00B925B9"/>
    <w:rsid w:val="00BD727A"/>
    <w:rsid w:val="00BF496F"/>
    <w:rsid w:val="00C0144F"/>
    <w:rsid w:val="00C143F4"/>
    <w:rsid w:val="00C146E8"/>
    <w:rsid w:val="00C27A05"/>
    <w:rsid w:val="00C34BAF"/>
    <w:rsid w:val="00C3699D"/>
    <w:rsid w:val="00C41CE2"/>
    <w:rsid w:val="00C60EDA"/>
    <w:rsid w:val="00C76E21"/>
    <w:rsid w:val="00CB5E9A"/>
    <w:rsid w:val="00CC16CF"/>
    <w:rsid w:val="00CC6C82"/>
    <w:rsid w:val="00D021DD"/>
    <w:rsid w:val="00D42B79"/>
    <w:rsid w:val="00D5319D"/>
    <w:rsid w:val="00D621ED"/>
    <w:rsid w:val="00D84F0E"/>
    <w:rsid w:val="00DA7F64"/>
    <w:rsid w:val="00E414C4"/>
    <w:rsid w:val="00E700A9"/>
    <w:rsid w:val="00E72036"/>
    <w:rsid w:val="00E74325"/>
    <w:rsid w:val="00E828F4"/>
    <w:rsid w:val="00E82A32"/>
    <w:rsid w:val="00EB3EF3"/>
    <w:rsid w:val="00EC4944"/>
    <w:rsid w:val="00ED18E3"/>
    <w:rsid w:val="00EE1246"/>
    <w:rsid w:val="00F00EFF"/>
    <w:rsid w:val="00F050F3"/>
    <w:rsid w:val="00F058AA"/>
    <w:rsid w:val="00F15C53"/>
    <w:rsid w:val="00F405F0"/>
    <w:rsid w:val="00F6761D"/>
    <w:rsid w:val="00F67E8D"/>
    <w:rsid w:val="00F805BF"/>
    <w:rsid w:val="00F8503B"/>
    <w:rsid w:val="00F905CD"/>
    <w:rsid w:val="00F95516"/>
    <w:rsid w:val="00FA42E3"/>
    <w:rsid w:val="00FE64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D2E60"/>
  <w15:chartTrackingRefBased/>
  <w15:docId w15:val="{D8193CC7-D6E0-4A5C-A896-C62B5B15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before="40" w:after="40" w:line="3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A14"/>
  </w:style>
  <w:style w:type="paragraph" w:styleId="Heading1">
    <w:name w:val="heading 1"/>
    <w:basedOn w:val="Normal"/>
    <w:next w:val="Normal"/>
    <w:link w:val="Heading1Char"/>
    <w:uiPriority w:val="9"/>
    <w:qFormat/>
    <w:rsid w:val="003E7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7A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A14"/>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7A14"/>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7A14"/>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7A14"/>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7A1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7A1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7A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A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7A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7A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7A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7A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7A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7A1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A1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A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7A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7A14"/>
    <w:rPr>
      <w:i/>
      <w:iCs/>
      <w:color w:val="404040" w:themeColor="text1" w:themeTint="BF"/>
    </w:rPr>
  </w:style>
  <w:style w:type="paragraph" w:styleId="ListParagraph">
    <w:name w:val="List Paragraph"/>
    <w:basedOn w:val="Normal"/>
    <w:uiPriority w:val="34"/>
    <w:qFormat/>
    <w:rsid w:val="003E7A14"/>
    <w:pPr>
      <w:ind w:left="720"/>
      <w:contextualSpacing/>
    </w:pPr>
  </w:style>
  <w:style w:type="character" w:styleId="IntenseEmphasis">
    <w:name w:val="Intense Emphasis"/>
    <w:basedOn w:val="DefaultParagraphFont"/>
    <w:uiPriority w:val="21"/>
    <w:qFormat/>
    <w:rsid w:val="003E7A14"/>
    <w:rPr>
      <w:i/>
      <w:iCs/>
      <w:color w:val="0F4761" w:themeColor="accent1" w:themeShade="BF"/>
    </w:rPr>
  </w:style>
  <w:style w:type="paragraph" w:styleId="IntenseQuote">
    <w:name w:val="Intense Quote"/>
    <w:basedOn w:val="Normal"/>
    <w:next w:val="Normal"/>
    <w:link w:val="IntenseQuoteChar"/>
    <w:uiPriority w:val="30"/>
    <w:qFormat/>
    <w:rsid w:val="003E7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A14"/>
    <w:rPr>
      <w:i/>
      <w:iCs/>
      <w:color w:val="0F4761" w:themeColor="accent1" w:themeShade="BF"/>
    </w:rPr>
  </w:style>
  <w:style w:type="character" w:styleId="IntenseReference">
    <w:name w:val="Intense Reference"/>
    <w:basedOn w:val="DefaultParagraphFont"/>
    <w:uiPriority w:val="32"/>
    <w:qFormat/>
    <w:rsid w:val="003E7A14"/>
    <w:rPr>
      <w:b/>
      <w:bCs/>
      <w:smallCaps/>
      <w:color w:val="0F4761" w:themeColor="accent1" w:themeShade="BF"/>
      <w:spacing w:val="5"/>
    </w:rPr>
  </w:style>
  <w:style w:type="paragraph" w:styleId="Header">
    <w:name w:val="header"/>
    <w:basedOn w:val="Normal"/>
    <w:link w:val="HeaderChar"/>
    <w:uiPriority w:val="99"/>
    <w:unhideWhenUsed/>
    <w:rsid w:val="00960D5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60D56"/>
  </w:style>
  <w:style w:type="paragraph" w:styleId="Footer">
    <w:name w:val="footer"/>
    <w:basedOn w:val="Normal"/>
    <w:link w:val="FooterChar"/>
    <w:uiPriority w:val="99"/>
    <w:unhideWhenUsed/>
    <w:rsid w:val="00960D5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60D56"/>
  </w:style>
  <w:style w:type="paragraph" w:styleId="TOC1">
    <w:name w:val="toc 1"/>
    <w:basedOn w:val="Normal"/>
    <w:next w:val="Normal"/>
    <w:autoRedefine/>
    <w:uiPriority w:val="39"/>
    <w:unhideWhenUsed/>
    <w:rsid w:val="005D2D0A"/>
    <w:pPr>
      <w:spacing w:before="240" w:after="120"/>
    </w:pPr>
    <w:rPr>
      <w:sz w:val="28"/>
    </w:rPr>
  </w:style>
  <w:style w:type="paragraph" w:styleId="TOC2">
    <w:name w:val="toc 2"/>
    <w:basedOn w:val="Normal"/>
    <w:next w:val="Normal"/>
    <w:autoRedefine/>
    <w:uiPriority w:val="39"/>
    <w:unhideWhenUsed/>
    <w:rsid w:val="005D2D0A"/>
    <w:pPr>
      <w:spacing w:before="240" w:after="120"/>
      <w:ind w:left="360"/>
    </w:pPr>
    <w:rPr>
      <w:sz w:val="25"/>
    </w:rPr>
  </w:style>
  <w:style w:type="character" w:styleId="Hyperlink">
    <w:name w:val="Hyperlink"/>
    <w:basedOn w:val="DefaultParagraphFont"/>
    <w:uiPriority w:val="99"/>
    <w:unhideWhenUsed/>
    <w:rsid w:val="00991097"/>
    <w:rPr>
      <w:color w:val="467886" w:themeColor="hyperlink"/>
      <w:u w:val="single"/>
    </w:rPr>
  </w:style>
  <w:style w:type="paragraph" w:styleId="TOC3">
    <w:name w:val="toc 3"/>
    <w:basedOn w:val="Normal"/>
    <w:next w:val="Normal"/>
    <w:autoRedefine/>
    <w:uiPriority w:val="39"/>
    <w:unhideWhenUsed/>
    <w:rsid w:val="005D2D0A"/>
    <w:pPr>
      <w:spacing w:before="240" w:after="120"/>
      <w:ind w:left="720"/>
    </w:pPr>
  </w:style>
  <w:style w:type="paragraph" w:styleId="Bibliography">
    <w:name w:val="Bibliography"/>
    <w:basedOn w:val="Normal"/>
    <w:next w:val="Normal"/>
    <w:uiPriority w:val="37"/>
    <w:unhideWhenUsed/>
    <w:rsid w:val="002D1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78520">
      <w:bodyDiv w:val="1"/>
      <w:marLeft w:val="0"/>
      <w:marRight w:val="0"/>
      <w:marTop w:val="0"/>
      <w:marBottom w:val="0"/>
      <w:divBdr>
        <w:top w:val="none" w:sz="0" w:space="0" w:color="auto"/>
        <w:left w:val="none" w:sz="0" w:space="0" w:color="auto"/>
        <w:bottom w:val="none" w:sz="0" w:space="0" w:color="auto"/>
        <w:right w:val="none" w:sz="0" w:space="0" w:color="auto"/>
      </w:divBdr>
    </w:div>
    <w:div w:id="174988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Sca09</b:Tag>
    <b:SourceType>Report</b:SourceType>
    <b:Guid>{D804F62F-D93D-40F9-8AF9-3C88C29257DE}</b:Guid>
    <b:Author>
      <b:Author>
        <b:NameList>
          <b:Person>
            <b:Last>Scarfone</b:Last>
            <b:First>Karen</b:First>
          </b:Person>
          <b:Person>
            <b:Last>Hoffman</b:Last>
            <b:First>Paul</b:First>
          </b:Person>
        </b:NameList>
      </b:Author>
    </b:Author>
    <b:Title>Guidelines on Firewalls and Firewall Policy</b:Title>
    <b:Year>2009</b:Year>
    <b:Institution>National Institute of Standards and Technology</b:Institution>
    <b:URL>https://doi.org/10.6028/NIST.SP.800-41r1</b:URL>
    <b:DOI>10.6028/NIST.SP.800-41r1</b:DOI>
    <b:RefOrder>1</b:RefOrder>
  </b:Source>
  <b:Source>
    <b:Tag>Ale25</b:Tag>
    <b:SourceType>InternetSite</b:SourceType>
    <b:Guid>{47878855-A26B-4FFB-A3F7-1AC4ABA77F3F}</b:Guid>
    <b:Author>
      <b:Author>
        <b:NameList>
          <b:Person>
            <b:Last>Nelson</b:Last>
            <b:First>Alexander</b:First>
          </b:Person>
          <b:Person>
            <b:Last>Rekhi</b:Last>
            <b:First>Sanjay</b:First>
          </b:Person>
          <b:Person>
            <b:Last>Scarfone</b:Last>
            <b:First>Karen </b:First>
          </b:Person>
          <b:Person>
            <b:Last>Souppaya</b:Last>
            <b:First>Murugiah </b:First>
          </b:Person>
        </b:NameList>
      </b:Author>
    </b:Author>
    <b:Title>Incident Response Recommendations and Considerations for Cybersecurity Risk Management: A CSF 2.0 Community Profile</b:Title>
    <b:Year>2025</b:Year>
    <b:InternetSiteTitle>NIST</b:InternetSiteTitle>
    <b:Month>April</b:Month>
    <b:Day>3</b:Day>
    <b:URL>https://www.nist.gov/publications/incident-response-recommendations-and-considerations-cybersecurity-risk-management-csf</b:URL>
    <b:RefOrder>2</b:RefOrder>
  </b:Source>
  <b:Source>
    <b:Tag>Swa10</b:Tag>
    <b:SourceType>Report</b:SourceType>
    <b:Guid>{F59CF52E-4650-4781-98D2-95E35B3390B4}</b:Guid>
    <b:Title>Contingency Planning Guide for Federal Information Systems</b:Title>
    <b:Year>2010</b:Year>
    <b:Author>
      <b:Author>
        <b:NameList>
          <b:Person>
            <b:Last>Swanson</b:Last>
            <b:First>Marianne</b:First>
          </b:Person>
          <b:Person>
            <b:Last>Bowen</b:Last>
            <b:First>Pauline</b:First>
          </b:Person>
          <b:Person>
            <b:Last>Phillips</b:Last>
            <b:First>Amy</b:First>
          </b:Person>
          <b:Person>
            <b:Last>Gallup</b:Last>
            <b:First>Dean</b:First>
          </b:Person>
          <b:Person>
            <b:Last>Lynes</b:Last>
            <b:First>David</b:First>
          </b:Person>
        </b:NameList>
      </b:Author>
    </b:Author>
    <b:Institution>National Institute of Standards and Technology</b:Institution>
    <b:ThesisType>NIST Special Publication </b:ThesisType>
    <b:StandardNumber>800-34, Revision 1</b:StandardNumber>
    <b:URL>https://doi.org/10.6028/NIST.SP.800-34r1</b:URL>
    <b:RefOrder>3</b:RefOrder>
  </b:Source>
  <b:Source>
    <b:Tag>Wes1</b:Tag>
    <b:SourceType>Report</b:SourceType>
    <b:Guid>{4DFFBF8D-CF52-464B-9BE3-45E2CFF7554E}</b:Guid>
    <b:Author>
      <b:Author>
        <b:Corporate>Western Governors University</b:Corporate>
      </b:Author>
    </b:Author>
    <b:Title>D832 Case Study 5: GlobalBiz Solutions Inc.</b:Title>
    <b:Institution>Western Governors University</b:Institution>
    <b:RefOrder>4</b:RefOrder>
  </b:Source>
</b:Sources>
</file>

<file path=customXml/itemProps1.xml><?xml version="1.0" encoding="utf-8"?>
<ds:datastoreItem xmlns:ds="http://schemas.openxmlformats.org/officeDocument/2006/customXml" ds:itemID="{32680618-EF81-4AD2-A0F0-993E20CDC5C0}">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153</TotalTime>
  <Pages>12</Pages>
  <Words>2715</Words>
  <Characters>15477</Characters>
  <Application>Microsoft Office Word</Application>
  <DocSecurity>0</DocSecurity>
  <Lines>128</Lines>
  <Paragraphs>36</Paragraphs>
  <ScaleCrop>false</ScaleCrop>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Dontrell Wilson</dc:creator>
  <cp:keywords/>
  <dc:description/>
  <cp:lastModifiedBy>Dontrell Wilson</cp:lastModifiedBy>
  <cp:revision>131</cp:revision>
  <dcterms:created xsi:type="dcterms:W3CDTF">2026-07-13T20:59:00Z</dcterms:created>
  <dcterms:modified xsi:type="dcterms:W3CDTF">2026-07-14T06:56:00Z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9ac575c3-fa22-42ee-b234-7fad7b009c7d</vt:lpwstr>
  </property>
</Properties>
</file>