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B18F1" w14:textId="7F4861DD" w:rsidR="00060BF6" w:rsidRPr="00BA61F5" w:rsidRDefault="00BA61F5" w:rsidP="0031541E">
      <w:pPr>
        <w:spacing w:line="360" w:lineRule="auto"/>
        <w:jc w:val="both"/>
        <w:rPr>
          <w:rFonts w:cstheme="minorHAnsi"/>
          <w:b/>
          <w:bCs/>
          <w:sz w:val="24"/>
          <w:szCs w:val="24"/>
        </w:rPr>
      </w:pPr>
      <w:r w:rsidRPr="00BA61F5">
        <w:rPr>
          <w:rFonts w:cstheme="minorHAnsi"/>
          <w:b/>
          <w:bCs/>
          <w:sz w:val="24"/>
          <w:szCs w:val="24"/>
        </w:rPr>
        <w:t>Introduction</w:t>
      </w:r>
    </w:p>
    <w:p w14:paraId="69FFCFD0" w14:textId="485AB135" w:rsidR="001E4683" w:rsidRPr="00B25FFA" w:rsidRDefault="00E055E3" w:rsidP="0031541E">
      <w:pPr>
        <w:spacing w:line="360" w:lineRule="auto"/>
        <w:jc w:val="both"/>
        <w:rPr>
          <w:rFonts w:cstheme="minorHAnsi"/>
          <w:sz w:val="24"/>
          <w:szCs w:val="24"/>
        </w:rPr>
      </w:pPr>
      <w:r w:rsidRPr="00B25FFA">
        <w:rPr>
          <w:rFonts w:cstheme="minorHAnsi"/>
          <w:sz w:val="24"/>
          <w:szCs w:val="24"/>
        </w:rPr>
        <w:t>More than 1 year after its outbreak, the coronavirus pandemic continues to wreak havoc on the world’s economy</w:t>
      </w:r>
      <w:bookmarkStart w:id="0" w:name="_Hlk71152541"/>
      <w:r w:rsidRPr="00B25FFA">
        <w:rPr>
          <w:rFonts w:cstheme="minorHAnsi"/>
          <w:sz w:val="24"/>
          <w:szCs w:val="24"/>
        </w:rPr>
        <w:t xml:space="preserve">. </w:t>
      </w:r>
      <w:r w:rsidR="004C75E5">
        <w:rPr>
          <w:rFonts w:cstheme="minorHAnsi"/>
          <w:sz w:val="24"/>
          <w:szCs w:val="24"/>
        </w:rPr>
        <w:t xml:space="preserve">It is imperative that we understand the consequences of this pandemic on the economy </w:t>
      </w:r>
      <w:proofErr w:type="gramStart"/>
      <w:r w:rsidR="004C75E5">
        <w:rPr>
          <w:rFonts w:cstheme="minorHAnsi"/>
          <w:sz w:val="24"/>
          <w:szCs w:val="24"/>
        </w:rPr>
        <w:t>in order to</w:t>
      </w:r>
      <w:proofErr w:type="gramEnd"/>
      <w:r w:rsidR="004C75E5">
        <w:rPr>
          <w:rFonts w:cstheme="minorHAnsi"/>
          <w:sz w:val="24"/>
          <w:szCs w:val="24"/>
        </w:rPr>
        <w:t xml:space="preserve"> better respond to future outbreaks of diseases. The long-term</w:t>
      </w:r>
      <w:r w:rsidRPr="00B25FFA">
        <w:rPr>
          <w:rFonts w:cstheme="minorHAnsi"/>
          <w:sz w:val="24"/>
          <w:szCs w:val="24"/>
        </w:rPr>
        <w:t xml:space="preserve"> consequences </w:t>
      </w:r>
      <w:bookmarkEnd w:id="0"/>
      <w:r w:rsidRPr="00B25FFA">
        <w:rPr>
          <w:rFonts w:cstheme="minorHAnsi"/>
          <w:sz w:val="24"/>
          <w:szCs w:val="24"/>
        </w:rPr>
        <w:t xml:space="preserve">cannot be </w:t>
      </w:r>
      <w:proofErr w:type="spellStart"/>
      <w:r w:rsidRPr="00B25FFA">
        <w:rPr>
          <w:rFonts w:cstheme="minorHAnsi"/>
          <w:sz w:val="24"/>
          <w:szCs w:val="24"/>
        </w:rPr>
        <w:t>analysed</w:t>
      </w:r>
      <w:proofErr w:type="spellEnd"/>
      <w:r w:rsidRPr="00B25FFA">
        <w:rPr>
          <w:rFonts w:cstheme="minorHAnsi"/>
          <w:sz w:val="24"/>
          <w:szCs w:val="24"/>
        </w:rPr>
        <w:t xml:space="preserve"> at the current time, but there is plenty of literature around the short-term effects of covid-19 on different areas of the econ</w:t>
      </w:r>
      <w:r w:rsidR="00B25FFA">
        <w:rPr>
          <w:rFonts w:cstheme="minorHAnsi"/>
          <w:sz w:val="24"/>
          <w:szCs w:val="24"/>
        </w:rPr>
        <w:t>o</w:t>
      </w:r>
      <w:r w:rsidRPr="00B25FFA">
        <w:rPr>
          <w:rFonts w:cstheme="minorHAnsi"/>
          <w:sz w:val="24"/>
          <w:szCs w:val="24"/>
        </w:rPr>
        <w:t xml:space="preserve">my. Although investigating the impact of covid-19 on the health of the overall economy is an important topic, I will leave that for other researchers to investigate. Hence, the purpose of this investigative research is to determine the short-term impact of different announcements on stock market returns. </w:t>
      </w:r>
    </w:p>
    <w:p w14:paraId="0163FA77" w14:textId="77777777" w:rsidR="004C75E5" w:rsidRDefault="00B25FFA" w:rsidP="0031541E">
      <w:pPr>
        <w:spacing w:line="360" w:lineRule="auto"/>
        <w:jc w:val="both"/>
        <w:rPr>
          <w:rFonts w:cstheme="minorHAnsi"/>
          <w:sz w:val="24"/>
          <w:szCs w:val="24"/>
        </w:rPr>
      </w:pPr>
      <w:r w:rsidRPr="00B25FFA">
        <w:rPr>
          <w:rFonts w:cstheme="minorHAnsi"/>
          <w:sz w:val="24"/>
          <w:szCs w:val="24"/>
        </w:rPr>
        <w:t xml:space="preserve">The </w:t>
      </w:r>
      <w:r w:rsidR="00705C5A">
        <w:rPr>
          <w:rFonts w:cstheme="minorHAnsi"/>
          <w:sz w:val="24"/>
          <w:szCs w:val="24"/>
        </w:rPr>
        <w:t>S&amp;P 500 index</w:t>
      </w:r>
      <w:r w:rsidRPr="00B25FFA">
        <w:rPr>
          <w:rFonts w:cstheme="minorHAnsi"/>
          <w:sz w:val="24"/>
          <w:szCs w:val="24"/>
        </w:rPr>
        <w:t xml:space="preserve"> has grown by 24.63% since the US encountered the first coronavirus case in its own borders, on January 21</w:t>
      </w:r>
      <w:r w:rsidRPr="00B25FFA">
        <w:rPr>
          <w:rFonts w:cstheme="minorHAnsi"/>
          <w:sz w:val="24"/>
          <w:szCs w:val="24"/>
          <w:vertAlign w:val="superscript"/>
        </w:rPr>
        <w:t>st</w:t>
      </w:r>
      <w:r w:rsidRPr="00B25FFA">
        <w:rPr>
          <w:rFonts w:cstheme="minorHAnsi"/>
          <w:sz w:val="24"/>
          <w:szCs w:val="24"/>
        </w:rPr>
        <w:t xml:space="preserve">, 2020 (Google, 2021). </w:t>
      </w:r>
      <w:proofErr w:type="gramStart"/>
      <w:r w:rsidRPr="00B25FFA">
        <w:rPr>
          <w:rFonts w:cstheme="minorHAnsi"/>
          <w:sz w:val="24"/>
          <w:szCs w:val="24"/>
        </w:rPr>
        <w:t>It is clear that the</w:t>
      </w:r>
      <w:proofErr w:type="gramEnd"/>
      <w:r w:rsidRPr="00B25FFA">
        <w:rPr>
          <w:rFonts w:cstheme="minorHAnsi"/>
          <w:sz w:val="24"/>
          <w:szCs w:val="24"/>
        </w:rPr>
        <w:t xml:space="preserve"> index fluctuations can be explained in part by the different unexpected announcements, a</w:t>
      </w:r>
      <w:r>
        <w:rPr>
          <w:rFonts w:cstheme="minorHAnsi"/>
          <w:sz w:val="24"/>
          <w:szCs w:val="24"/>
        </w:rPr>
        <w:t xml:space="preserve">nd in part </w:t>
      </w:r>
      <w:r w:rsidRPr="00B25FFA">
        <w:rPr>
          <w:rFonts w:cstheme="minorHAnsi"/>
          <w:sz w:val="24"/>
          <w:szCs w:val="24"/>
        </w:rPr>
        <w:t xml:space="preserve">by insider information. This paper aims to identify whether there were significant cumulative abnormal returns (CARs) </w:t>
      </w:r>
      <w:r>
        <w:rPr>
          <w:rFonts w:cstheme="minorHAnsi"/>
          <w:sz w:val="24"/>
          <w:szCs w:val="24"/>
        </w:rPr>
        <w:t>around</w:t>
      </w:r>
      <w:r w:rsidR="00BA61F5">
        <w:rPr>
          <w:rFonts w:cstheme="minorHAnsi"/>
          <w:sz w:val="24"/>
          <w:szCs w:val="24"/>
        </w:rPr>
        <w:t xml:space="preserve"> </w:t>
      </w:r>
      <w:r w:rsidR="007B6F2E">
        <w:rPr>
          <w:rFonts w:cstheme="minorHAnsi"/>
          <w:sz w:val="24"/>
          <w:szCs w:val="24"/>
        </w:rPr>
        <w:t xml:space="preserve">2 </w:t>
      </w:r>
      <w:r w:rsidR="00BA61F5">
        <w:rPr>
          <w:rFonts w:cstheme="minorHAnsi"/>
          <w:sz w:val="24"/>
          <w:szCs w:val="24"/>
        </w:rPr>
        <w:t>vaccine distribution approval</w:t>
      </w:r>
      <w:r>
        <w:rPr>
          <w:rFonts w:cstheme="minorHAnsi"/>
          <w:sz w:val="24"/>
          <w:szCs w:val="24"/>
        </w:rPr>
        <w:t xml:space="preserve"> announcements </w:t>
      </w:r>
      <w:r w:rsidR="00705C5A">
        <w:rPr>
          <w:rFonts w:cstheme="minorHAnsi"/>
          <w:sz w:val="24"/>
          <w:szCs w:val="24"/>
        </w:rPr>
        <w:t xml:space="preserve">during the pandemic </w:t>
      </w:r>
      <w:r w:rsidRPr="00B25FFA">
        <w:rPr>
          <w:rFonts w:cstheme="minorHAnsi"/>
          <w:sz w:val="24"/>
          <w:szCs w:val="24"/>
        </w:rPr>
        <w:t xml:space="preserve">using an event study methodology. </w:t>
      </w:r>
      <w:r w:rsidR="000D237B">
        <w:rPr>
          <w:rFonts w:cstheme="minorHAnsi"/>
          <w:sz w:val="24"/>
          <w:szCs w:val="24"/>
        </w:rPr>
        <w:t xml:space="preserve">The </w:t>
      </w:r>
      <w:r w:rsidR="007B6F2E">
        <w:rPr>
          <w:rFonts w:cstheme="minorHAnsi"/>
          <w:sz w:val="24"/>
          <w:szCs w:val="24"/>
        </w:rPr>
        <w:t>abnormal returns</w:t>
      </w:r>
      <w:r w:rsidR="000D237B">
        <w:rPr>
          <w:rFonts w:cstheme="minorHAnsi"/>
          <w:sz w:val="24"/>
          <w:szCs w:val="24"/>
        </w:rPr>
        <w:t xml:space="preserve"> of each </w:t>
      </w:r>
      <w:r w:rsidR="007B6F2E">
        <w:rPr>
          <w:rFonts w:cstheme="minorHAnsi"/>
          <w:sz w:val="24"/>
          <w:szCs w:val="24"/>
        </w:rPr>
        <w:t xml:space="preserve">company </w:t>
      </w:r>
      <w:r w:rsidR="000D237B">
        <w:rPr>
          <w:rFonts w:cstheme="minorHAnsi"/>
          <w:sz w:val="24"/>
          <w:szCs w:val="24"/>
        </w:rPr>
        <w:t>will be calculated</w:t>
      </w:r>
      <w:r w:rsidR="007B6F2E">
        <w:rPr>
          <w:rFonts w:cstheme="minorHAnsi"/>
          <w:sz w:val="24"/>
          <w:szCs w:val="24"/>
        </w:rPr>
        <w:t xml:space="preserve"> then aggregated per industry to find industry-specific CARS</w:t>
      </w:r>
      <w:r w:rsidR="000D237B">
        <w:rPr>
          <w:rFonts w:cstheme="minorHAnsi"/>
          <w:sz w:val="24"/>
          <w:szCs w:val="24"/>
        </w:rPr>
        <w:t xml:space="preserve">. </w:t>
      </w:r>
    </w:p>
    <w:p w14:paraId="6BCE146C" w14:textId="559E385F" w:rsidR="004C75E5" w:rsidRPr="0012594C" w:rsidRDefault="00576FFF" w:rsidP="0031541E">
      <w:pPr>
        <w:spacing w:line="360" w:lineRule="auto"/>
        <w:jc w:val="both"/>
        <w:rPr>
          <w:rFonts w:cstheme="minorHAnsi"/>
          <w:sz w:val="24"/>
          <w:szCs w:val="24"/>
          <w:lang w:val="ro-RO"/>
        </w:rPr>
      </w:pPr>
      <w:bookmarkStart w:id="1" w:name="_Hlk71152600"/>
      <w:r>
        <w:rPr>
          <w:rFonts w:cstheme="minorHAnsi"/>
          <w:sz w:val="24"/>
          <w:szCs w:val="24"/>
        </w:rPr>
        <w:t>The companies in the S&amp;P 500 are grouped in 11 sectors, namely Energy, Materials, Industrials, Consumer Discretionary, Consumer Staples, Health Care, Financials, Information Technology, Communication Services, Utilities, Real Estate (MSCI, 2021). Of these</w:t>
      </w:r>
      <w:r w:rsidR="0012594C">
        <w:rPr>
          <w:rFonts w:cstheme="minorHAnsi"/>
          <w:sz w:val="24"/>
          <w:szCs w:val="24"/>
        </w:rPr>
        <w:t xml:space="preserve">, the energy, real estate, financials, utilities, consumer staples, industrials and healthcare sectors have underperformed in 2020 when compared to the 2010-2019 average </w:t>
      </w:r>
      <w:r>
        <w:rPr>
          <w:rFonts w:cstheme="minorHAnsi"/>
          <w:sz w:val="24"/>
          <w:szCs w:val="24"/>
        </w:rPr>
        <w:t>returns of the respective industry</w:t>
      </w:r>
      <w:r w:rsidR="0012594C">
        <w:rPr>
          <w:rFonts w:cstheme="minorHAnsi"/>
          <w:sz w:val="24"/>
          <w:szCs w:val="24"/>
        </w:rPr>
        <w:t xml:space="preserve"> (Statista, 2021). </w:t>
      </w:r>
      <w:r w:rsidR="00021515">
        <w:rPr>
          <w:rFonts w:cstheme="minorHAnsi"/>
          <w:sz w:val="24"/>
          <w:szCs w:val="24"/>
        </w:rPr>
        <w:t xml:space="preserve">Previous studies also suggest that a specific sector may be affected in a different way in the event of a pandemic, such as hotels, pharmaceutical and biotech sectors (Al-Awadhi, </w:t>
      </w:r>
      <w:proofErr w:type="spellStart"/>
      <w:r w:rsidR="00021515">
        <w:rPr>
          <w:rFonts w:cstheme="minorHAnsi"/>
          <w:sz w:val="24"/>
          <w:szCs w:val="24"/>
        </w:rPr>
        <w:t>Alsaifi</w:t>
      </w:r>
      <w:proofErr w:type="spellEnd"/>
      <w:r w:rsidR="00021515">
        <w:rPr>
          <w:rFonts w:cstheme="minorHAnsi"/>
          <w:sz w:val="24"/>
          <w:szCs w:val="24"/>
        </w:rPr>
        <w:t xml:space="preserve">, Al-Awadhi, </w:t>
      </w:r>
      <w:proofErr w:type="spellStart"/>
      <w:r w:rsidR="00021515">
        <w:rPr>
          <w:rFonts w:cstheme="minorHAnsi"/>
          <w:sz w:val="24"/>
          <w:szCs w:val="24"/>
        </w:rPr>
        <w:t>Alhammadi</w:t>
      </w:r>
      <w:proofErr w:type="spellEnd"/>
      <w:r w:rsidR="00021515">
        <w:rPr>
          <w:rFonts w:cstheme="minorHAnsi"/>
          <w:sz w:val="24"/>
          <w:szCs w:val="24"/>
        </w:rPr>
        <w:t>, 2020).</w:t>
      </w:r>
    </w:p>
    <w:bookmarkEnd w:id="1"/>
    <w:p w14:paraId="13954743" w14:textId="738C6365" w:rsidR="00E055E3" w:rsidRDefault="004A10E1" w:rsidP="0031541E">
      <w:pPr>
        <w:spacing w:line="360" w:lineRule="auto"/>
        <w:jc w:val="both"/>
        <w:rPr>
          <w:rFonts w:cstheme="minorHAnsi"/>
          <w:sz w:val="24"/>
          <w:szCs w:val="24"/>
        </w:rPr>
      </w:pPr>
      <w:r>
        <w:rPr>
          <w:rFonts w:cstheme="minorHAnsi"/>
          <w:sz w:val="24"/>
          <w:szCs w:val="24"/>
        </w:rPr>
        <w:t>Hence, the following research question is put forward:</w:t>
      </w:r>
    </w:p>
    <w:p w14:paraId="54349B29" w14:textId="7EB05152" w:rsidR="009106BB" w:rsidRDefault="004B78B1" w:rsidP="0031541E">
      <w:pPr>
        <w:spacing w:line="360" w:lineRule="auto"/>
        <w:jc w:val="both"/>
        <w:rPr>
          <w:rFonts w:cstheme="minorHAnsi"/>
          <w:i/>
          <w:iCs/>
          <w:sz w:val="24"/>
          <w:szCs w:val="24"/>
        </w:rPr>
      </w:pPr>
      <w:r w:rsidRPr="004A10E1">
        <w:rPr>
          <w:rFonts w:cstheme="minorHAnsi"/>
          <w:i/>
          <w:iCs/>
          <w:sz w:val="24"/>
          <w:szCs w:val="24"/>
        </w:rPr>
        <w:t>What is the effect of covid-19 vaccine approval announcements on equity market returns per industry</w:t>
      </w:r>
      <w:r w:rsidR="000E6EBF">
        <w:rPr>
          <w:rFonts w:cstheme="minorHAnsi"/>
          <w:i/>
          <w:iCs/>
          <w:sz w:val="24"/>
          <w:szCs w:val="24"/>
        </w:rPr>
        <w:t xml:space="preserve"> within the S&amp;P 500</w:t>
      </w:r>
      <w:r w:rsidRPr="004A10E1">
        <w:rPr>
          <w:rFonts w:cstheme="minorHAnsi"/>
          <w:i/>
          <w:iCs/>
          <w:sz w:val="24"/>
          <w:szCs w:val="24"/>
        </w:rPr>
        <w:t xml:space="preserve">? </w:t>
      </w:r>
    </w:p>
    <w:p w14:paraId="2E478214" w14:textId="3FD0C78F" w:rsidR="007B6F2E" w:rsidRDefault="007B6F2E" w:rsidP="0031541E">
      <w:pPr>
        <w:spacing w:line="360" w:lineRule="auto"/>
        <w:jc w:val="both"/>
        <w:rPr>
          <w:rFonts w:cstheme="minorHAnsi"/>
          <w:sz w:val="24"/>
          <w:szCs w:val="24"/>
        </w:rPr>
      </w:pPr>
      <w:r>
        <w:rPr>
          <w:rFonts w:cstheme="minorHAnsi"/>
          <w:sz w:val="24"/>
          <w:szCs w:val="24"/>
        </w:rPr>
        <w:lastRenderedPageBreak/>
        <w:t xml:space="preserve">It is important to tackle this question to test the efficiency of the market as well as identify resilient and future-proof industries. The answer to this question is therefore important for investors, as well as for the general workforce. What is more, the above question can be broken down into multiple sub-questions, as per the literature review below. One such question is: “Does the investor structure matter? </w:t>
      </w:r>
      <w:proofErr w:type="gramStart"/>
      <w:r>
        <w:rPr>
          <w:rFonts w:cstheme="minorHAnsi"/>
          <w:sz w:val="24"/>
          <w:szCs w:val="24"/>
        </w:rPr>
        <w:t>i.e.</w:t>
      </w:r>
      <w:proofErr w:type="gramEnd"/>
      <w:r>
        <w:rPr>
          <w:rFonts w:cstheme="minorHAnsi"/>
          <w:sz w:val="24"/>
          <w:szCs w:val="24"/>
        </w:rPr>
        <w:t xml:space="preserve"> varying quantities of the stock owned by</w:t>
      </w:r>
      <w:r w:rsidR="00074EFC">
        <w:rPr>
          <w:rFonts w:cstheme="minorHAnsi"/>
          <w:sz w:val="24"/>
          <w:szCs w:val="24"/>
        </w:rPr>
        <w:t xml:space="preserve"> buy and hold investors </w:t>
      </w:r>
      <w:r>
        <w:rPr>
          <w:rFonts w:cstheme="minorHAnsi"/>
          <w:sz w:val="24"/>
          <w:szCs w:val="24"/>
        </w:rPr>
        <w:t xml:space="preserve">in one company and by speculative </w:t>
      </w:r>
      <w:r w:rsidR="00074EFC">
        <w:rPr>
          <w:rFonts w:cstheme="minorHAnsi"/>
          <w:sz w:val="24"/>
          <w:szCs w:val="24"/>
        </w:rPr>
        <w:t>investors</w:t>
      </w:r>
      <w:r>
        <w:rPr>
          <w:rFonts w:cstheme="minorHAnsi"/>
          <w:sz w:val="24"/>
          <w:szCs w:val="24"/>
        </w:rPr>
        <w:t xml:space="preserve"> in another company</w:t>
      </w:r>
      <w:r w:rsidR="00074EFC">
        <w:rPr>
          <w:rFonts w:cstheme="minorHAnsi"/>
          <w:sz w:val="24"/>
          <w:szCs w:val="24"/>
        </w:rPr>
        <w:t>, e.g. Tesla Inc. vs Berkshire Hathaway</w:t>
      </w:r>
      <w:r>
        <w:rPr>
          <w:rFonts w:cstheme="minorHAnsi"/>
          <w:sz w:val="24"/>
          <w:szCs w:val="24"/>
        </w:rPr>
        <w:t>”</w:t>
      </w:r>
      <w:r w:rsidR="00074EFC">
        <w:rPr>
          <w:rFonts w:cstheme="minorHAnsi"/>
          <w:sz w:val="24"/>
          <w:szCs w:val="24"/>
        </w:rPr>
        <w:t>.</w:t>
      </w:r>
      <w:r>
        <w:rPr>
          <w:rFonts w:cstheme="minorHAnsi"/>
          <w:sz w:val="24"/>
          <w:szCs w:val="24"/>
        </w:rPr>
        <w:t xml:space="preserve"> Another sub-question is “Which company fundamentals have an effect on the (abnormal return) in a company or industry?”. And “Are the results of the analysis of the chosen event dates consistent with each other?”.</w:t>
      </w:r>
    </w:p>
    <w:p w14:paraId="43883C19" w14:textId="59E5E7DF" w:rsidR="004A10E1" w:rsidRDefault="004A10E1" w:rsidP="0031541E">
      <w:pPr>
        <w:spacing w:line="360" w:lineRule="auto"/>
        <w:jc w:val="both"/>
        <w:rPr>
          <w:rFonts w:cstheme="minorHAnsi"/>
          <w:b/>
          <w:bCs/>
          <w:sz w:val="24"/>
          <w:szCs w:val="24"/>
        </w:rPr>
      </w:pPr>
      <w:r w:rsidRPr="004A10E1">
        <w:rPr>
          <w:rFonts w:cstheme="minorHAnsi"/>
          <w:b/>
          <w:bCs/>
          <w:sz w:val="24"/>
          <w:szCs w:val="24"/>
        </w:rPr>
        <w:t>Literature review and hypothesis</w:t>
      </w:r>
    </w:p>
    <w:p w14:paraId="44017AB3" w14:textId="08DB8EF9" w:rsidR="00015F09" w:rsidRDefault="004A10E1" w:rsidP="0031541E">
      <w:pPr>
        <w:spacing w:line="360" w:lineRule="auto"/>
        <w:jc w:val="both"/>
        <w:rPr>
          <w:rFonts w:cstheme="minorHAnsi"/>
          <w:sz w:val="24"/>
          <w:szCs w:val="24"/>
        </w:rPr>
      </w:pPr>
      <w:r w:rsidRPr="00B25FFA">
        <w:rPr>
          <w:rFonts w:cstheme="minorHAnsi"/>
          <w:sz w:val="24"/>
          <w:szCs w:val="24"/>
        </w:rPr>
        <w:t xml:space="preserve">He, </w:t>
      </w:r>
      <w:proofErr w:type="gramStart"/>
      <w:r w:rsidRPr="00B25FFA">
        <w:rPr>
          <w:rFonts w:cstheme="minorHAnsi"/>
          <w:sz w:val="24"/>
          <w:szCs w:val="24"/>
        </w:rPr>
        <w:t>Sun</w:t>
      </w:r>
      <w:proofErr w:type="gramEnd"/>
      <w:r w:rsidRPr="00B25FFA">
        <w:rPr>
          <w:rFonts w:cstheme="minorHAnsi"/>
          <w:sz w:val="24"/>
          <w:szCs w:val="24"/>
        </w:rPr>
        <w:t xml:space="preserve"> and Zhang (2020) start their paper stating that 2020 will be recorded in history because of an extraordinary turn of events. They study the impact of covid-19 on stock prices through an event-study methodology. The event day of the Covid-19 outbreak is January 23rd, 2020. Their regression shows that the Shanghai and Shenzhen A-shares showed no significant cumulative abnormal returns on the day of the outbreak. However, starting with the 15</w:t>
      </w:r>
      <w:r w:rsidRPr="00B25FFA">
        <w:rPr>
          <w:rFonts w:cstheme="minorHAnsi"/>
          <w:sz w:val="24"/>
          <w:szCs w:val="24"/>
          <w:vertAlign w:val="superscript"/>
        </w:rPr>
        <w:t>th</w:t>
      </w:r>
      <w:r w:rsidRPr="00B25FFA">
        <w:rPr>
          <w:rFonts w:cstheme="minorHAnsi"/>
          <w:sz w:val="24"/>
          <w:szCs w:val="24"/>
        </w:rPr>
        <w:t xml:space="preserve"> day after the outbreak, both stock exchanges’ shares significantly dropped. They find that the CARs were negative for the Shanghai stock exchange (SE) and positive for the Shenzhen SE. This discrepancy is explained by differences in industry characteristics of the companies listed on each exchange. In particular, the Shanghai SE listed companies are mostly traditional industries, whereas the Shenzhen SE includes companies which are highly technological. </w:t>
      </w:r>
      <w:r w:rsidR="00015F09">
        <w:rPr>
          <w:rFonts w:cstheme="minorHAnsi"/>
          <w:sz w:val="24"/>
          <w:szCs w:val="24"/>
        </w:rPr>
        <w:t>Hence, the following sub-question:</w:t>
      </w:r>
    </w:p>
    <w:p w14:paraId="6BD5D91C" w14:textId="23DE4ADA" w:rsidR="00015F09" w:rsidRPr="00015F09" w:rsidRDefault="00015F09" w:rsidP="0031541E">
      <w:pPr>
        <w:spacing w:line="360" w:lineRule="auto"/>
        <w:jc w:val="both"/>
        <w:rPr>
          <w:rFonts w:cstheme="minorHAnsi"/>
          <w:i/>
          <w:iCs/>
          <w:sz w:val="24"/>
          <w:szCs w:val="24"/>
        </w:rPr>
      </w:pPr>
      <w:r w:rsidRPr="00015F09">
        <w:rPr>
          <w:rFonts w:cstheme="minorHAnsi"/>
          <w:i/>
          <w:iCs/>
          <w:sz w:val="24"/>
          <w:szCs w:val="24"/>
        </w:rPr>
        <w:t>What is the effect of industry characteristics on the market reaction around the time of the vaccine approval announcements?</w:t>
      </w:r>
    </w:p>
    <w:p w14:paraId="02D1137E" w14:textId="7098C720" w:rsidR="004A10E1" w:rsidRDefault="004A10E1" w:rsidP="0031541E">
      <w:pPr>
        <w:spacing w:line="360" w:lineRule="auto"/>
        <w:jc w:val="both"/>
        <w:rPr>
          <w:rFonts w:cstheme="minorHAnsi"/>
          <w:sz w:val="24"/>
          <w:szCs w:val="24"/>
        </w:rPr>
      </w:pPr>
      <w:r w:rsidRPr="00B25FFA">
        <w:rPr>
          <w:rFonts w:cstheme="minorHAnsi"/>
          <w:sz w:val="24"/>
          <w:szCs w:val="24"/>
        </w:rPr>
        <w:t xml:space="preserve">He, </w:t>
      </w:r>
      <w:proofErr w:type="gramStart"/>
      <w:r w:rsidRPr="00B25FFA">
        <w:rPr>
          <w:rFonts w:cstheme="minorHAnsi"/>
          <w:sz w:val="24"/>
          <w:szCs w:val="24"/>
        </w:rPr>
        <w:t>Sun</w:t>
      </w:r>
      <w:proofErr w:type="gramEnd"/>
      <w:r w:rsidRPr="00B25FFA">
        <w:rPr>
          <w:rFonts w:cstheme="minorHAnsi"/>
          <w:sz w:val="24"/>
          <w:szCs w:val="24"/>
        </w:rPr>
        <w:t xml:space="preserve"> and Zhang (2020) further break the impact of covid-19 on each industry with different event windows. 30 days after the event day, the sectors which showed the largest negative CARs are agriculture (CAR ~ -1.12%), </w:t>
      </w:r>
      <w:proofErr w:type="spellStart"/>
      <w:r w:rsidRPr="00B25FFA">
        <w:rPr>
          <w:rFonts w:cstheme="minorHAnsi"/>
          <w:sz w:val="24"/>
          <w:szCs w:val="24"/>
        </w:rPr>
        <w:t>electric&amp;heating</w:t>
      </w:r>
      <w:proofErr w:type="spellEnd"/>
      <w:r w:rsidRPr="00B25FFA">
        <w:rPr>
          <w:rFonts w:cstheme="minorHAnsi"/>
          <w:sz w:val="24"/>
          <w:szCs w:val="24"/>
        </w:rPr>
        <w:t xml:space="preserve"> (CAR~ -0.59%), transportation (CAR ~ -0.33%), environment (CAR~-0.73%) and information technology (CAR~ -0.65%). These are significant at the 1% confidence level. Lastly, He, </w:t>
      </w:r>
      <w:proofErr w:type="spellStart"/>
      <w:r w:rsidRPr="00B25FFA">
        <w:rPr>
          <w:rFonts w:cstheme="minorHAnsi"/>
          <w:sz w:val="24"/>
          <w:szCs w:val="24"/>
        </w:rPr>
        <w:t>Zun</w:t>
      </w:r>
      <w:proofErr w:type="spellEnd"/>
      <w:r w:rsidRPr="00B25FFA">
        <w:rPr>
          <w:rFonts w:cstheme="minorHAnsi"/>
          <w:sz w:val="24"/>
          <w:szCs w:val="24"/>
        </w:rPr>
        <w:t xml:space="preserve"> and Zhang (2020) investigate how covid-19 impacted </w:t>
      </w:r>
      <w:r w:rsidRPr="00B25FFA">
        <w:rPr>
          <w:rFonts w:cstheme="minorHAnsi"/>
          <w:sz w:val="24"/>
          <w:szCs w:val="24"/>
        </w:rPr>
        <w:lastRenderedPageBreak/>
        <w:t xml:space="preserve">companies with different equity properties, and argue they have different capabilities to deal with external shocks. They find that the state-owned, traditional enterprises showed significant negative CARs on all event windows chosen. In contrast, non-state-owned, mainly technological companies showed significant positive CARs on all event windows. </w:t>
      </w:r>
    </w:p>
    <w:p w14:paraId="301C1B79" w14:textId="131A40F2" w:rsidR="00EB2C29" w:rsidRPr="00EB2C29" w:rsidRDefault="00EB2C29" w:rsidP="0031541E">
      <w:pPr>
        <w:spacing w:line="360" w:lineRule="auto"/>
        <w:jc w:val="both"/>
        <w:rPr>
          <w:rFonts w:cstheme="minorHAnsi"/>
          <w:i/>
          <w:iCs/>
          <w:sz w:val="24"/>
          <w:szCs w:val="24"/>
        </w:rPr>
      </w:pPr>
      <w:r w:rsidRPr="00EB2C29">
        <w:rPr>
          <w:rFonts w:cstheme="minorHAnsi"/>
          <w:i/>
          <w:iCs/>
          <w:sz w:val="24"/>
          <w:szCs w:val="24"/>
        </w:rPr>
        <w:t>H1: The vaccine approval announcements had no impact on stock prices, per industry.</w:t>
      </w:r>
    </w:p>
    <w:p w14:paraId="63FD2DC0" w14:textId="7732B6DA" w:rsidR="004A10E1" w:rsidRDefault="00074EFC" w:rsidP="0031541E">
      <w:pPr>
        <w:spacing w:line="360" w:lineRule="auto"/>
        <w:jc w:val="both"/>
        <w:rPr>
          <w:rFonts w:cstheme="minorHAnsi"/>
          <w:sz w:val="24"/>
          <w:szCs w:val="24"/>
        </w:rPr>
      </w:pPr>
      <w:r>
        <w:rPr>
          <w:rFonts w:cstheme="minorHAnsi"/>
          <w:sz w:val="24"/>
          <w:szCs w:val="24"/>
        </w:rPr>
        <w:t xml:space="preserve">In another paper, </w:t>
      </w:r>
      <w:proofErr w:type="spellStart"/>
      <w:r>
        <w:rPr>
          <w:rFonts w:cstheme="minorHAnsi"/>
          <w:sz w:val="24"/>
          <w:szCs w:val="24"/>
        </w:rPr>
        <w:t>Xiong</w:t>
      </w:r>
      <w:proofErr w:type="spellEnd"/>
      <w:r>
        <w:rPr>
          <w:rFonts w:cstheme="minorHAnsi"/>
          <w:sz w:val="24"/>
          <w:szCs w:val="24"/>
        </w:rPr>
        <w:t xml:space="preserve">, Wu, Hou and Zhang (2020) investigate the investors’ responses to the covid-19 pandemic using the event study method. They find that institutional investors, namely buy and sell speculators, have a significantly negative impact on market reaction of the companies. They also show that firms in the industries that are more affected by the emergence of the virus show significantly lower CARs. Cheng, </w:t>
      </w:r>
      <w:proofErr w:type="gramStart"/>
      <w:r>
        <w:rPr>
          <w:rFonts w:cstheme="minorHAnsi"/>
          <w:sz w:val="24"/>
          <w:szCs w:val="24"/>
        </w:rPr>
        <w:t>Jang</w:t>
      </w:r>
      <w:proofErr w:type="gramEnd"/>
      <w:r>
        <w:rPr>
          <w:rFonts w:cstheme="minorHAnsi"/>
          <w:sz w:val="24"/>
          <w:szCs w:val="24"/>
        </w:rPr>
        <w:t xml:space="preserve"> and Kim (2020) examine the effect of the SARS outbreak on Taiwanese hotel stock movements. Hotel stocks </w:t>
      </w:r>
      <w:r w:rsidR="00BB47EC">
        <w:rPr>
          <w:rFonts w:cstheme="minorHAnsi"/>
          <w:sz w:val="24"/>
          <w:szCs w:val="24"/>
        </w:rPr>
        <w:t xml:space="preserve">had significant declines in earnings and stock prices, as the industry faced higher than average risk during the SARS-outbreak period. </w:t>
      </w:r>
    </w:p>
    <w:p w14:paraId="6F9DD2D6" w14:textId="60AA7F8E" w:rsidR="00EB2C29" w:rsidRPr="00EB2C29" w:rsidRDefault="00EB2C29" w:rsidP="0031541E">
      <w:pPr>
        <w:spacing w:line="360" w:lineRule="auto"/>
        <w:jc w:val="both"/>
        <w:rPr>
          <w:rFonts w:cstheme="minorHAnsi"/>
          <w:i/>
          <w:iCs/>
          <w:sz w:val="24"/>
          <w:szCs w:val="24"/>
        </w:rPr>
      </w:pPr>
      <w:r w:rsidRPr="00EB2C29">
        <w:rPr>
          <w:rFonts w:cstheme="minorHAnsi"/>
          <w:i/>
          <w:iCs/>
          <w:sz w:val="24"/>
          <w:szCs w:val="24"/>
        </w:rPr>
        <w:t>H2: Companies with a higher level of institutional investors exhibit larger absolute abnormal returns during a vaccine approval announcement.</w:t>
      </w:r>
    </w:p>
    <w:p w14:paraId="5411C553" w14:textId="58D4C47F" w:rsidR="00074EFC" w:rsidRDefault="00BB47EC" w:rsidP="0031541E">
      <w:pPr>
        <w:spacing w:line="360" w:lineRule="auto"/>
        <w:jc w:val="both"/>
        <w:rPr>
          <w:rFonts w:cstheme="minorHAnsi"/>
          <w:sz w:val="24"/>
          <w:szCs w:val="24"/>
        </w:rPr>
      </w:pPr>
      <w:r>
        <w:rPr>
          <w:rFonts w:cstheme="minorHAnsi"/>
          <w:sz w:val="24"/>
          <w:szCs w:val="24"/>
        </w:rPr>
        <w:t xml:space="preserve">The level of cash also dictates how a company’s stock price reacts. Qin, Huang, </w:t>
      </w:r>
      <w:proofErr w:type="gramStart"/>
      <w:r>
        <w:rPr>
          <w:rFonts w:cstheme="minorHAnsi"/>
          <w:sz w:val="24"/>
          <w:szCs w:val="24"/>
        </w:rPr>
        <w:t>Shen</w:t>
      </w:r>
      <w:proofErr w:type="gramEnd"/>
      <w:r>
        <w:rPr>
          <w:rFonts w:cstheme="minorHAnsi"/>
          <w:sz w:val="24"/>
          <w:szCs w:val="24"/>
        </w:rPr>
        <w:t xml:space="preserve"> and Fu (2020) find that the amount of cash held by a company significantly increased as a result of the pandemic. </w:t>
      </w:r>
      <w:proofErr w:type="spellStart"/>
      <w:r>
        <w:rPr>
          <w:rFonts w:cstheme="minorHAnsi"/>
          <w:sz w:val="24"/>
          <w:szCs w:val="24"/>
        </w:rPr>
        <w:t>Xiong</w:t>
      </w:r>
      <w:proofErr w:type="spellEnd"/>
      <w:r>
        <w:rPr>
          <w:rFonts w:cstheme="minorHAnsi"/>
          <w:sz w:val="24"/>
          <w:szCs w:val="24"/>
        </w:rPr>
        <w:t>, Wu, Hou, Zhang (2020) look at how other fundamentals and characteristics of a company and industry may have affected the return. The amount of cash held did not have a significant effect on the CARs they calculated. However, the industry, size, return on assets, the amount of leverage and fixed assets had a significant impact on stock returns.</w:t>
      </w:r>
    </w:p>
    <w:p w14:paraId="6972644C" w14:textId="4AF4636D" w:rsidR="00EB2C29" w:rsidRPr="00EB2C29" w:rsidRDefault="00EB2C29" w:rsidP="0031541E">
      <w:pPr>
        <w:spacing w:line="360" w:lineRule="auto"/>
        <w:jc w:val="both"/>
        <w:rPr>
          <w:rFonts w:cstheme="minorHAnsi"/>
          <w:i/>
          <w:iCs/>
          <w:sz w:val="24"/>
          <w:szCs w:val="24"/>
        </w:rPr>
      </w:pPr>
      <w:r w:rsidRPr="00EB2C29">
        <w:rPr>
          <w:rFonts w:cstheme="minorHAnsi"/>
          <w:i/>
          <w:iCs/>
          <w:sz w:val="24"/>
          <w:szCs w:val="24"/>
        </w:rPr>
        <w:t>H3: The amount of leverage of a company in a vulnerable industry* had a positive effect on the abnormal return of that company.</w:t>
      </w:r>
    </w:p>
    <w:p w14:paraId="2F294583" w14:textId="756B47C8" w:rsidR="00EB2C29" w:rsidRPr="00EB2C29" w:rsidRDefault="00EB2C29" w:rsidP="0031541E">
      <w:pPr>
        <w:pStyle w:val="Footer"/>
        <w:spacing w:line="360" w:lineRule="auto"/>
        <w:jc w:val="both"/>
        <w:rPr>
          <w:rFonts w:cstheme="minorHAnsi"/>
          <w:sz w:val="24"/>
          <w:szCs w:val="24"/>
        </w:rPr>
      </w:pPr>
      <w:r>
        <w:rPr>
          <w:rFonts w:cstheme="minorHAnsi"/>
          <w:sz w:val="24"/>
          <w:szCs w:val="24"/>
        </w:rPr>
        <w:t>*V</w:t>
      </w:r>
      <w:r w:rsidRPr="00EB2C29">
        <w:rPr>
          <w:rFonts w:cstheme="minorHAnsi"/>
          <w:sz w:val="24"/>
          <w:szCs w:val="24"/>
        </w:rPr>
        <w:t xml:space="preserve">ulnerable industry here implies transportation, food and beverage retail, hotel and tourism, postal warehouse, real estate, video entertainment and construction as per </w:t>
      </w:r>
      <w:proofErr w:type="spellStart"/>
      <w:r w:rsidRPr="00EB2C29">
        <w:rPr>
          <w:rFonts w:cstheme="minorHAnsi"/>
          <w:sz w:val="24"/>
          <w:szCs w:val="24"/>
        </w:rPr>
        <w:t>Xiong</w:t>
      </w:r>
      <w:proofErr w:type="spellEnd"/>
      <w:r w:rsidRPr="00EB2C29">
        <w:rPr>
          <w:rFonts w:cstheme="minorHAnsi"/>
          <w:sz w:val="24"/>
          <w:szCs w:val="24"/>
        </w:rPr>
        <w:t>, Wu, Hou and Zhang (2020)</w:t>
      </w:r>
      <w:r w:rsidR="0031541E">
        <w:rPr>
          <w:rFonts w:cstheme="minorHAnsi"/>
          <w:sz w:val="24"/>
          <w:szCs w:val="24"/>
        </w:rPr>
        <w:t>.</w:t>
      </w:r>
    </w:p>
    <w:p w14:paraId="0B2FCA71" w14:textId="56CC728F" w:rsidR="00705C5A" w:rsidRDefault="00705C5A" w:rsidP="0031541E">
      <w:pPr>
        <w:spacing w:line="360" w:lineRule="auto"/>
        <w:jc w:val="both"/>
        <w:rPr>
          <w:rFonts w:cstheme="minorHAnsi"/>
          <w:sz w:val="24"/>
          <w:szCs w:val="24"/>
        </w:rPr>
      </w:pPr>
    </w:p>
    <w:p w14:paraId="7C53CE08" w14:textId="5D8C7262" w:rsidR="00D366EC" w:rsidRPr="00EF777B" w:rsidRDefault="00D366EC" w:rsidP="0031541E">
      <w:pPr>
        <w:spacing w:line="360" w:lineRule="auto"/>
        <w:jc w:val="both"/>
        <w:rPr>
          <w:rFonts w:cstheme="minorHAnsi"/>
          <w:b/>
          <w:bCs/>
          <w:sz w:val="24"/>
          <w:szCs w:val="24"/>
        </w:rPr>
      </w:pPr>
      <w:r w:rsidRPr="00EF777B">
        <w:rPr>
          <w:rFonts w:cstheme="minorHAnsi"/>
          <w:b/>
          <w:bCs/>
          <w:sz w:val="24"/>
          <w:szCs w:val="24"/>
        </w:rPr>
        <w:lastRenderedPageBreak/>
        <w:t>Methodology and data</w:t>
      </w:r>
    </w:p>
    <w:p w14:paraId="6D2B777A" w14:textId="4072B081" w:rsidR="00E6381D" w:rsidRDefault="00D366EC" w:rsidP="0031541E">
      <w:pPr>
        <w:spacing w:line="360" w:lineRule="auto"/>
        <w:jc w:val="both"/>
        <w:rPr>
          <w:rFonts w:cstheme="minorHAnsi"/>
          <w:sz w:val="24"/>
          <w:szCs w:val="24"/>
        </w:rPr>
      </w:pPr>
      <w:r>
        <w:rPr>
          <w:rFonts w:cstheme="minorHAnsi"/>
          <w:sz w:val="24"/>
          <w:szCs w:val="24"/>
        </w:rPr>
        <w:t>This paper will use an event study approach</w:t>
      </w:r>
      <w:r w:rsidR="000E6EBF">
        <w:rPr>
          <w:rFonts w:cstheme="minorHAnsi"/>
          <w:sz w:val="24"/>
          <w:szCs w:val="24"/>
        </w:rPr>
        <w:t xml:space="preserve"> to calculate the abnormal returns of individual companies within the S&amp;P 500 index</w:t>
      </w:r>
      <w:r>
        <w:rPr>
          <w:rFonts w:cstheme="minorHAnsi"/>
          <w:sz w:val="24"/>
          <w:szCs w:val="24"/>
        </w:rPr>
        <w:t xml:space="preserve">. </w:t>
      </w:r>
      <w:r w:rsidR="00CB6E4B">
        <w:rPr>
          <w:rFonts w:cstheme="minorHAnsi"/>
          <w:sz w:val="24"/>
          <w:szCs w:val="24"/>
        </w:rPr>
        <w:t>First, the normal return will be calculated. Then, the normal return will be subtracted from</w:t>
      </w:r>
      <w:r w:rsidR="000E6EBF">
        <w:rPr>
          <w:rFonts w:cstheme="minorHAnsi"/>
          <w:sz w:val="24"/>
          <w:szCs w:val="24"/>
        </w:rPr>
        <w:t xml:space="preserve"> the actual market return during the event window to calculate the abnormal return (AR). Finally, by adding up the individual ARs per event window and industry, I will get cumulative abnormal returns (CAR). </w:t>
      </w:r>
      <w:r w:rsidR="00A40086">
        <w:rPr>
          <w:rFonts w:cstheme="minorHAnsi"/>
          <w:sz w:val="24"/>
          <w:szCs w:val="24"/>
        </w:rPr>
        <w:t xml:space="preserve">The data on stock prices will be collected from </w:t>
      </w:r>
      <w:proofErr w:type="spellStart"/>
      <w:r w:rsidR="00A40086">
        <w:rPr>
          <w:rFonts w:cstheme="minorHAnsi"/>
          <w:sz w:val="24"/>
          <w:szCs w:val="24"/>
        </w:rPr>
        <w:t>Compustat</w:t>
      </w:r>
      <w:proofErr w:type="spellEnd"/>
      <w:r w:rsidR="00A40086">
        <w:rPr>
          <w:rFonts w:cstheme="minorHAnsi"/>
          <w:sz w:val="24"/>
          <w:szCs w:val="24"/>
        </w:rPr>
        <w:t xml:space="preserve"> – CRSP and the data on company and industry fundamentals will be taken from the </w:t>
      </w:r>
      <w:r w:rsidR="00CB6E4B">
        <w:rPr>
          <w:rFonts w:cstheme="minorHAnsi"/>
          <w:sz w:val="24"/>
          <w:szCs w:val="24"/>
        </w:rPr>
        <w:t>WRDS database</w:t>
      </w:r>
      <w:r w:rsidR="00A40086">
        <w:rPr>
          <w:rFonts w:cstheme="minorHAnsi"/>
          <w:sz w:val="24"/>
          <w:szCs w:val="24"/>
        </w:rPr>
        <w:t xml:space="preserve">. </w:t>
      </w:r>
      <w:r w:rsidR="00015F09" w:rsidRPr="00B25FFA">
        <w:rPr>
          <w:rFonts w:cstheme="minorHAnsi"/>
          <w:sz w:val="24"/>
          <w:szCs w:val="24"/>
        </w:rPr>
        <w:t>The</w:t>
      </w:r>
      <w:r w:rsidR="00015F09">
        <w:rPr>
          <w:rFonts w:cstheme="minorHAnsi"/>
          <w:sz w:val="24"/>
          <w:szCs w:val="24"/>
        </w:rPr>
        <w:t xml:space="preserve"> events to be researched are selected from the American Journal of Managed Care (AJMC). The AJMC</w:t>
      </w:r>
      <w:r w:rsidR="003B5B78">
        <w:rPr>
          <w:rFonts w:cstheme="minorHAnsi"/>
          <w:sz w:val="24"/>
          <w:szCs w:val="24"/>
        </w:rPr>
        <w:t xml:space="preserve"> (2020)</w:t>
      </w:r>
      <w:r w:rsidR="00015F09">
        <w:rPr>
          <w:rFonts w:cstheme="minorHAnsi"/>
          <w:sz w:val="24"/>
          <w:szCs w:val="24"/>
        </w:rPr>
        <w:t xml:space="preserve"> provides a timeline of all important covid-19 announcements.</w:t>
      </w:r>
      <w:r w:rsidR="00A40086">
        <w:rPr>
          <w:rFonts w:cstheme="minorHAnsi"/>
          <w:sz w:val="24"/>
          <w:szCs w:val="24"/>
        </w:rPr>
        <w:t xml:space="preserve"> The events are as follows:</w:t>
      </w:r>
    </w:p>
    <w:p w14:paraId="36C32EEC" w14:textId="48269D96" w:rsidR="00E6381D" w:rsidRPr="00CB6E4B" w:rsidRDefault="00E6381D" w:rsidP="0031541E">
      <w:pPr>
        <w:spacing w:line="360" w:lineRule="auto"/>
        <w:jc w:val="both"/>
        <w:rPr>
          <w:rFonts w:cstheme="minorHAnsi"/>
          <w:b/>
          <w:bCs/>
          <w:sz w:val="24"/>
          <w:szCs w:val="24"/>
        </w:rPr>
      </w:pPr>
      <w:r w:rsidRPr="00CB6E4B">
        <w:rPr>
          <w:rFonts w:cstheme="minorHAnsi"/>
          <w:b/>
          <w:bCs/>
          <w:sz w:val="24"/>
          <w:szCs w:val="24"/>
        </w:rPr>
        <w:t>December 11 —</w:t>
      </w:r>
      <w:r w:rsidRPr="00CB6E4B">
        <w:rPr>
          <w:rFonts w:cstheme="minorHAnsi"/>
          <w:sz w:val="24"/>
          <w:szCs w:val="24"/>
        </w:rPr>
        <w:t> </w:t>
      </w:r>
      <w:r w:rsidRPr="00CB6E4B">
        <w:rPr>
          <w:rFonts w:cstheme="minorHAnsi"/>
          <w:b/>
          <w:bCs/>
          <w:sz w:val="24"/>
          <w:szCs w:val="24"/>
        </w:rPr>
        <w:t xml:space="preserve">FDA Agrees to EUA for COVID-19 Vaccine </w:t>
      </w:r>
      <w:r w:rsidR="000E6EBF">
        <w:rPr>
          <w:rFonts w:cstheme="minorHAnsi"/>
          <w:b/>
          <w:bCs/>
          <w:sz w:val="24"/>
          <w:szCs w:val="24"/>
        </w:rPr>
        <w:t>f</w:t>
      </w:r>
      <w:r w:rsidRPr="00CB6E4B">
        <w:rPr>
          <w:rFonts w:cstheme="minorHAnsi"/>
          <w:b/>
          <w:bCs/>
          <w:sz w:val="24"/>
          <w:szCs w:val="24"/>
        </w:rPr>
        <w:t>rom Pfizer, BioNTech</w:t>
      </w:r>
    </w:p>
    <w:p w14:paraId="052318B3" w14:textId="2E46FC50" w:rsidR="0031541E" w:rsidRDefault="00E6381D" w:rsidP="0031541E">
      <w:pPr>
        <w:pStyle w:val="NormalWeb"/>
        <w:shd w:val="clear" w:color="auto" w:fill="FFFFFF"/>
        <w:spacing w:before="0" w:beforeAutospacing="0" w:line="360" w:lineRule="auto"/>
        <w:jc w:val="both"/>
        <w:rPr>
          <w:rFonts w:asciiTheme="minorHAnsi" w:eastAsiaTheme="minorHAnsi" w:hAnsiTheme="minorHAnsi" w:cstheme="minorHAnsi"/>
        </w:rPr>
      </w:pPr>
      <w:r w:rsidRPr="00CB6E4B">
        <w:rPr>
          <w:rFonts w:asciiTheme="minorHAnsi" w:eastAsiaTheme="minorHAnsi" w:hAnsiTheme="minorHAnsi" w:cstheme="minorHAnsi"/>
          <w:b/>
          <w:bCs/>
        </w:rPr>
        <w:t xml:space="preserve">December 18 — FDA Signs Off on EUA for </w:t>
      </w:r>
      <w:proofErr w:type="spellStart"/>
      <w:r w:rsidRPr="00CB6E4B">
        <w:rPr>
          <w:rFonts w:asciiTheme="minorHAnsi" w:eastAsiaTheme="minorHAnsi" w:hAnsiTheme="minorHAnsi" w:cstheme="minorHAnsi"/>
          <w:b/>
          <w:bCs/>
        </w:rPr>
        <w:t>Moderna's</w:t>
      </w:r>
      <w:proofErr w:type="spellEnd"/>
      <w:r w:rsidRPr="00CB6E4B">
        <w:rPr>
          <w:rFonts w:asciiTheme="minorHAnsi" w:eastAsiaTheme="minorHAnsi" w:hAnsiTheme="minorHAnsi" w:cstheme="minorHAnsi"/>
          <w:b/>
          <w:bCs/>
        </w:rPr>
        <w:t xml:space="preserve"> COVID-19 Vaccine</w:t>
      </w:r>
    </w:p>
    <w:p w14:paraId="09CD9A26" w14:textId="1C0765B2" w:rsidR="0031541E" w:rsidRDefault="0031541E" w:rsidP="0031541E">
      <w:pPr>
        <w:pStyle w:val="NormalWeb"/>
        <w:shd w:val="clear" w:color="auto" w:fill="FFFFFF"/>
        <w:spacing w:before="0" w:beforeAutospacing="0" w:line="360" w:lineRule="auto"/>
        <w:jc w:val="both"/>
        <w:rPr>
          <w:rFonts w:asciiTheme="minorHAnsi" w:eastAsiaTheme="minorHAnsi" w:hAnsiTheme="minorHAnsi" w:cstheme="minorHAnsi"/>
          <w:b/>
          <w:bCs/>
        </w:rPr>
      </w:pPr>
      <w:r w:rsidRPr="0031541E">
        <w:rPr>
          <w:rFonts w:asciiTheme="minorHAnsi" w:eastAsiaTheme="minorHAnsi" w:hAnsiTheme="minorHAnsi" w:cstheme="minorHAnsi"/>
          <w:b/>
          <w:bCs/>
        </w:rPr>
        <w:t>Planning</w:t>
      </w:r>
    </w:p>
    <w:p w14:paraId="62D529A4" w14:textId="23FA60F3" w:rsidR="0031541E" w:rsidRDefault="0031541E" w:rsidP="0031541E">
      <w:pPr>
        <w:pStyle w:val="NormalWeb"/>
        <w:shd w:val="clear" w:color="auto" w:fill="FFFFFF"/>
        <w:spacing w:before="0" w:beforeAutospacing="0" w:line="360" w:lineRule="auto"/>
        <w:jc w:val="both"/>
        <w:rPr>
          <w:rFonts w:asciiTheme="minorHAnsi" w:eastAsiaTheme="minorHAnsi" w:hAnsiTheme="minorHAnsi" w:cstheme="minorHAnsi"/>
        </w:rPr>
      </w:pPr>
      <w:r>
        <w:rPr>
          <w:rFonts w:asciiTheme="minorHAnsi" w:eastAsiaTheme="minorHAnsi" w:hAnsiTheme="minorHAnsi" w:cstheme="minorHAnsi"/>
        </w:rPr>
        <w:t xml:space="preserve">The thesis will go in more depth with the relevance of the topic, the literature review, data selection and trimming and methodology. The data will be </w:t>
      </w:r>
      <w:proofErr w:type="spellStart"/>
      <w:r>
        <w:rPr>
          <w:rFonts w:asciiTheme="minorHAnsi" w:eastAsiaTheme="minorHAnsi" w:hAnsiTheme="minorHAnsi" w:cstheme="minorHAnsi"/>
        </w:rPr>
        <w:t>analysed</w:t>
      </w:r>
      <w:proofErr w:type="spellEnd"/>
      <w:r>
        <w:rPr>
          <w:rFonts w:asciiTheme="minorHAnsi" w:eastAsiaTheme="minorHAnsi" w:hAnsiTheme="minorHAnsi" w:cstheme="minorHAnsi"/>
        </w:rPr>
        <w:t xml:space="preserve"> using STATA. Furthermore, the results will be presented and conclusions as well as limitations will be drawn. In particular, the theoretical framework will be carefully explained and backed by scientific papers. The event study definition will be the one used by </w:t>
      </w:r>
      <w:proofErr w:type="spellStart"/>
      <w:r>
        <w:rPr>
          <w:rFonts w:asciiTheme="minorHAnsi" w:eastAsiaTheme="minorHAnsi" w:hAnsiTheme="minorHAnsi" w:cstheme="minorHAnsi"/>
        </w:rPr>
        <w:t>MacKinlay</w:t>
      </w:r>
      <w:proofErr w:type="spellEnd"/>
      <w:r>
        <w:rPr>
          <w:rFonts w:asciiTheme="minorHAnsi" w:eastAsiaTheme="minorHAnsi" w:hAnsiTheme="minorHAnsi" w:cstheme="minorHAnsi"/>
        </w:rPr>
        <w:t xml:space="preserve"> (1997).</w:t>
      </w:r>
    </w:p>
    <w:p w14:paraId="57661319" w14:textId="01F785F5" w:rsidR="003B5B78" w:rsidRDefault="003B5B78" w:rsidP="0031541E">
      <w:pPr>
        <w:pStyle w:val="NormalWeb"/>
        <w:shd w:val="clear" w:color="auto" w:fill="FFFFFF"/>
        <w:spacing w:before="0" w:beforeAutospacing="0" w:line="360" w:lineRule="auto"/>
        <w:jc w:val="both"/>
        <w:rPr>
          <w:rFonts w:asciiTheme="minorHAnsi" w:eastAsiaTheme="minorHAnsi" w:hAnsiTheme="minorHAnsi" w:cstheme="minorHAnsi"/>
        </w:rPr>
      </w:pPr>
    </w:p>
    <w:p w14:paraId="0FDAB7F6" w14:textId="54D0156F" w:rsidR="003B5B78" w:rsidRDefault="003B5B78" w:rsidP="0031541E">
      <w:pPr>
        <w:pStyle w:val="NormalWeb"/>
        <w:shd w:val="clear" w:color="auto" w:fill="FFFFFF"/>
        <w:spacing w:before="0" w:beforeAutospacing="0" w:line="360" w:lineRule="auto"/>
        <w:jc w:val="both"/>
        <w:rPr>
          <w:rFonts w:asciiTheme="minorHAnsi" w:eastAsiaTheme="minorHAnsi" w:hAnsiTheme="minorHAnsi" w:cstheme="minorHAnsi"/>
        </w:rPr>
      </w:pPr>
    </w:p>
    <w:p w14:paraId="4DD33597" w14:textId="3ABBBBC5" w:rsidR="003B5B78" w:rsidRDefault="003B5B78" w:rsidP="0031541E">
      <w:pPr>
        <w:pStyle w:val="NormalWeb"/>
        <w:shd w:val="clear" w:color="auto" w:fill="FFFFFF"/>
        <w:spacing w:before="0" w:beforeAutospacing="0" w:line="360" w:lineRule="auto"/>
        <w:jc w:val="both"/>
        <w:rPr>
          <w:rFonts w:asciiTheme="minorHAnsi" w:eastAsiaTheme="minorHAnsi" w:hAnsiTheme="minorHAnsi" w:cstheme="minorHAnsi"/>
        </w:rPr>
      </w:pPr>
    </w:p>
    <w:p w14:paraId="4F1F4D35" w14:textId="7EE1BF85" w:rsidR="003B5B78" w:rsidRDefault="003B5B78" w:rsidP="0031541E">
      <w:pPr>
        <w:pStyle w:val="NormalWeb"/>
        <w:shd w:val="clear" w:color="auto" w:fill="FFFFFF"/>
        <w:spacing w:before="0" w:beforeAutospacing="0" w:line="360" w:lineRule="auto"/>
        <w:jc w:val="both"/>
        <w:rPr>
          <w:rFonts w:asciiTheme="minorHAnsi" w:eastAsiaTheme="minorHAnsi" w:hAnsiTheme="minorHAnsi" w:cstheme="minorHAnsi"/>
        </w:rPr>
      </w:pPr>
    </w:p>
    <w:p w14:paraId="357D4648" w14:textId="21FE0077" w:rsidR="003B5B78" w:rsidRDefault="003B5B78" w:rsidP="0031541E">
      <w:pPr>
        <w:pStyle w:val="NormalWeb"/>
        <w:shd w:val="clear" w:color="auto" w:fill="FFFFFF"/>
        <w:spacing w:before="0" w:beforeAutospacing="0" w:line="360" w:lineRule="auto"/>
        <w:jc w:val="both"/>
        <w:rPr>
          <w:rFonts w:asciiTheme="minorHAnsi" w:eastAsiaTheme="minorHAnsi" w:hAnsiTheme="minorHAnsi" w:cstheme="minorHAnsi"/>
        </w:rPr>
      </w:pPr>
    </w:p>
    <w:p w14:paraId="28649393" w14:textId="13F5C217" w:rsidR="003B5B78" w:rsidRDefault="00021515" w:rsidP="0031541E">
      <w:pPr>
        <w:pStyle w:val="NormalWeb"/>
        <w:shd w:val="clear" w:color="auto" w:fill="FFFFFF"/>
        <w:spacing w:before="0" w:beforeAutospacing="0" w:line="360" w:lineRule="auto"/>
        <w:jc w:val="both"/>
        <w:rPr>
          <w:rFonts w:asciiTheme="minorHAnsi" w:eastAsiaTheme="minorHAnsi" w:hAnsiTheme="minorHAnsi" w:cstheme="minorHAnsi"/>
        </w:rPr>
      </w:pPr>
      <w:r>
        <w:rPr>
          <w:rFonts w:asciiTheme="minorHAnsi" w:eastAsiaTheme="minorHAnsi" w:hAnsiTheme="minorHAnsi" w:cstheme="minorHAnsi"/>
        </w:rPr>
        <w:lastRenderedPageBreak/>
        <w:t>New references:</w:t>
      </w:r>
    </w:p>
    <w:p w14:paraId="56239C3C" w14:textId="28908B77" w:rsidR="00021515" w:rsidRDefault="00A25435" w:rsidP="00021515">
      <w:pPr>
        <w:pStyle w:val="NormalWeb"/>
        <w:numPr>
          <w:ilvl w:val="0"/>
          <w:numId w:val="2"/>
        </w:numPr>
        <w:shd w:val="clear" w:color="auto" w:fill="FFFFFF"/>
        <w:spacing w:before="0" w:beforeAutospacing="0" w:line="360" w:lineRule="auto"/>
        <w:jc w:val="both"/>
        <w:rPr>
          <w:rFonts w:asciiTheme="minorHAnsi" w:eastAsiaTheme="minorHAnsi" w:hAnsiTheme="minorHAnsi" w:cstheme="minorHAnsi"/>
        </w:rPr>
      </w:pPr>
      <w:hyperlink r:id="rId8" w:anchor="b9" w:history="1">
        <w:r w:rsidR="00021515" w:rsidRPr="00607323">
          <w:rPr>
            <w:rStyle w:val="Hyperlink"/>
            <w:rFonts w:asciiTheme="minorHAnsi" w:eastAsiaTheme="minorHAnsi" w:hAnsiTheme="minorHAnsi" w:cstheme="minorHAnsi"/>
          </w:rPr>
          <w:t>https://www-sciencedirect-com.eur.idm.oclc</w:t>
        </w:r>
        <w:r w:rsidR="00021515" w:rsidRPr="00607323">
          <w:rPr>
            <w:rStyle w:val="Hyperlink"/>
            <w:rFonts w:asciiTheme="minorHAnsi" w:eastAsiaTheme="minorHAnsi" w:hAnsiTheme="minorHAnsi" w:cstheme="minorHAnsi"/>
          </w:rPr>
          <w:t>.</w:t>
        </w:r>
        <w:r w:rsidR="00021515" w:rsidRPr="00607323">
          <w:rPr>
            <w:rStyle w:val="Hyperlink"/>
            <w:rFonts w:asciiTheme="minorHAnsi" w:eastAsiaTheme="minorHAnsi" w:hAnsiTheme="minorHAnsi" w:cstheme="minorHAnsi"/>
          </w:rPr>
          <w:t>org/science/article/pii/S2214635020300800?casa_token=zCVvQV_C5t8AAAAA:RdplTFQjZmr10ieTgW7HciE_uDTxmoz1X-DDM5tpouf_SDQSsbFBiUM6K2y7nVMEz0J0LHHQQUQ#b9</w:t>
        </w:r>
      </w:hyperlink>
    </w:p>
    <w:p w14:paraId="76D3A73B" w14:textId="5885ACCE" w:rsidR="00021515" w:rsidRDefault="00021515" w:rsidP="00021515">
      <w:pPr>
        <w:pStyle w:val="Heading1"/>
        <w:spacing w:before="0"/>
        <w:rPr>
          <w:color w:val="505050"/>
        </w:rPr>
      </w:pPr>
      <w:r>
        <w:rPr>
          <w:rFonts w:asciiTheme="minorHAnsi" w:eastAsiaTheme="minorHAnsi" w:hAnsiTheme="minorHAnsi" w:cstheme="minorHAnsi"/>
        </w:rPr>
        <w:t>Article name:</w:t>
      </w:r>
      <w:r w:rsidRPr="00021515">
        <w:rPr>
          <w:rStyle w:val="hlfld-contribauthor"/>
          <w:color w:val="505050"/>
        </w:rPr>
        <w:t xml:space="preserve"> </w:t>
      </w:r>
      <w:r>
        <w:rPr>
          <w:rStyle w:val="title-text"/>
          <w:color w:val="505050"/>
        </w:rPr>
        <w:t>Death and contagious infectious diseases: Impact of the COVID-19 virus on stock market returns</w:t>
      </w:r>
    </w:p>
    <w:p w14:paraId="7F5B4D84" w14:textId="7CC46D8B" w:rsidR="00021515" w:rsidRDefault="00A25435" w:rsidP="00021515">
      <w:pPr>
        <w:pStyle w:val="NormalWeb"/>
        <w:numPr>
          <w:ilvl w:val="0"/>
          <w:numId w:val="2"/>
        </w:numPr>
        <w:shd w:val="clear" w:color="auto" w:fill="FFFFFF"/>
        <w:spacing w:before="0" w:beforeAutospacing="0" w:line="360" w:lineRule="auto"/>
        <w:jc w:val="both"/>
        <w:rPr>
          <w:rFonts w:asciiTheme="minorHAnsi" w:eastAsiaTheme="minorHAnsi" w:hAnsiTheme="minorHAnsi" w:cstheme="minorHAnsi"/>
        </w:rPr>
      </w:pPr>
      <w:hyperlink r:id="rId9" w:history="1">
        <w:r w:rsidR="00021515" w:rsidRPr="00607323">
          <w:rPr>
            <w:rStyle w:val="Hyperlink"/>
            <w:rFonts w:asciiTheme="minorHAnsi" w:eastAsiaTheme="minorHAnsi" w:hAnsiTheme="minorHAnsi" w:cstheme="minorHAnsi"/>
          </w:rPr>
          <w:t>https://www.statista.com/statistics/580711/sandp-500-returns-by-sector/</w:t>
        </w:r>
      </w:hyperlink>
    </w:p>
    <w:p w14:paraId="70501355" w14:textId="31B33BF8" w:rsidR="00021515" w:rsidRDefault="00021515" w:rsidP="00021515">
      <w:pPr>
        <w:pStyle w:val="NormalWeb"/>
        <w:numPr>
          <w:ilvl w:val="0"/>
          <w:numId w:val="2"/>
        </w:numPr>
        <w:shd w:val="clear" w:color="auto" w:fill="FFFFFF"/>
        <w:spacing w:before="0" w:beforeAutospacing="0" w:line="360" w:lineRule="auto"/>
        <w:jc w:val="both"/>
        <w:rPr>
          <w:rFonts w:asciiTheme="minorHAnsi" w:eastAsiaTheme="minorHAnsi" w:hAnsiTheme="minorHAnsi" w:cstheme="minorHAnsi"/>
        </w:rPr>
      </w:pPr>
      <w:r w:rsidRPr="00021515">
        <w:rPr>
          <w:rFonts w:asciiTheme="minorHAnsi" w:eastAsiaTheme="minorHAnsi" w:hAnsiTheme="minorHAnsi" w:cstheme="minorHAnsi"/>
        </w:rPr>
        <w:t>https://www.msci.com/gics</w:t>
      </w:r>
    </w:p>
    <w:p w14:paraId="75A96AE3" w14:textId="1FCD79CA" w:rsidR="00021515" w:rsidRDefault="00021515" w:rsidP="00021515">
      <w:pPr>
        <w:pStyle w:val="NormalWeb"/>
        <w:shd w:val="clear" w:color="auto" w:fill="FFFFFF"/>
        <w:spacing w:before="0" w:beforeAutospacing="0" w:line="360" w:lineRule="auto"/>
        <w:jc w:val="both"/>
        <w:rPr>
          <w:rFonts w:asciiTheme="minorHAnsi" w:eastAsiaTheme="minorHAnsi" w:hAnsiTheme="minorHAnsi" w:cstheme="minorHAnsi"/>
        </w:rPr>
      </w:pPr>
      <w:proofErr w:type="gramStart"/>
      <w:r>
        <w:rPr>
          <w:rFonts w:asciiTheme="minorHAnsi" w:eastAsiaTheme="minorHAnsi" w:hAnsiTheme="minorHAnsi" w:cstheme="minorHAnsi"/>
        </w:rPr>
        <w:t>Haven’t</w:t>
      </w:r>
      <w:proofErr w:type="gramEnd"/>
      <w:r>
        <w:rPr>
          <w:rFonts w:asciiTheme="minorHAnsi" w:eastAsiaTheme="minorHAnsi" w:hAnsiTheme="minorHAnsi" w:cstheme="minorHAnsi"/>
        </w:rPr>
        <w:t xml:space="preserve"> used but might:</w:t>
      </w:r>
    </w:p>
    <w:p w14:paraId="28C60038" w14:textId="7415C7A8" w:rsidR="00021515" w:rsidRDefault="00CA71EF" w:rsidP="00021515">
      <w:pPr>
        <w:pStyle w:val="NormalWeb"/>
        <w:shd w:val="clear" w:color="auto" w:fill="FFFFFF"/>
        <w:spacing w:before="0" w:beforeAutospacing="0" w:line="360" w:lineRule="auto"/>
        <w:jc w:val="both"/>
        <w:rPr>
          <w:ins w:id="2" w:author="Ionut Hodoroaga" w:date="2021-05-07T01:17:00Z"/>
          <w:rFonts w:asciiTheme="minorHAnsi" w:eastAsiaTheme="minorHAnsi" w:hAnsiTheme="minorHAnsi" w:cstheme="minorHAnsi"/>
        </w:rPr>
      </w:pPr>
      <w:ins w:id="3" w:author="Ionut Hodoroaga" w:date="2021-05-07T01:17:00Z">
        <w:r>
          <w:rPr>
            <w:rFonts w:asciiTheme="minorHAnsi" w:eastAsiaTheme="minorHAnsi" w:hAnsiTheme="minorHAnsi" w:cstheme="minorHAnsi"/>
          </w:rPr>
          <w:fldChar w:fldCharType="begin"/>
        </w:r>
        <w:r>
          <w:rPr>
            <w:rFonts w:asciiTheme="minorHAnsi" w:eastAsiaTheme="minorHAnsi" w:hAnsiTheme="minorHAnsi" w:cstheme="minorHAnsi"/>
          </w:rPr>
          <w:instrText xml:space="preserve"> HYPERLINK "</w:instrText>
        </w:r>
      </w:ins>
      <w:r w:rsidRPr="00021515">
        <w:rPr>
          <w:rFonts w:asciiTheme="minorHAnsi" w:eastAsiaTheme="minorHAnsi" w:hAnsiTheme="minorHAnsi" w:cstheme="minorHAnsi"/>
        </w:rPr>
        <w:instrText>https://www-sciencedirect-com.eur.idm.oclc.org/science/article/pii/S1057521917301862?casa_token=pz1EUrJSlJMAAAAA:Y6rISbCiUaxLMIiS0qJeXmFIdS7B4zlarglNCCOm0dNs7-OGLgPtncAEFWVdSrR0LJNrGX2HRdg</w:instrText>
      </w:r>
      <w:ins w:id="4" w:author="Ionut Hodoroaga" w:date="2021-05-07T01:17:00Z">
        <w:r>
          <w:rPr>
            <w:rFonts w:asciiTheme="minorHAnsi" w:eastAsiaTheme="minorHAnsi" w:hAnsiTheme="minorHAnsi" w:cstheme="minorHAnsi"/>
          </w:rPr>
          <w:instrText xml:space="preserve">" </w:instrText>
        </w:r>
        <w:r>
          <w:rPr>
            <w:rFonts w:asciiTheme="minorHAnsi" w:eastAsiaTheme="minorHAnsi" w:hAnsiTheme="minorHAnsi" w:cstheme="minorHAnsi"/>
          </w:rPr>
          <w:fldChar w:fldCharType="separate"/>
        </w:r>
      </w:ins>
      <w:r w:rsidRPr="00EA071C">
        <w:rPr>
          <w:rStyle w:val="Hyperlink"/>
          <w:rFonts w:asciiTheme="minorHAnsi" w:eastAsiaTheme="minorHAnsi" w:hAnsiTheme="minorHAnsi" w:cstheme="minorHAnsi"/>
        </w:rPr>
        <w:t>https://www-sciencedirect-com.eur.idm.oclc.org/science/article/pii/S1057521917301862?casa_token=pz1EUrJSlJMAAAAA:Y6rISbCiUaxLMIiS0qJeXmFIdS7B4zlarglNCCOm0dNs7-OGLgPtncAEFWVdSrR0LJNrGX2HRdg</w:t>
      </w:r>
      <w:ins w:id="5" w:author="Ionut Hodoroaga" w:date="2021-05-07T01:17:00Z">
        <w:r>
          <w:rPr>
            <w:rFonts w:asciiTheme="minorHAnsi" w:eastAsiaTheme="minorHAnsi" w:hAnsiTheme="minorHAnsi" w:cstheme="minorHAnsi"/>
          </w:rPr>
          <w:fldChar w:fldCharType="end"/>
        </w:r>
      </w:ins>
    </w:p>
    <w:p w14:paraId="06EBB779" w14:textId="02996D39" w:rsidR="00CA71EF" w:rsidRDefault="00CA71EF" w:rsidP="00021515">
      <w:pPr>
        <w:pStyle w:val="NormalWeb"/>
        <w:shd w:val="clear" w:color="auto" w:fill="FFFFFF"/>
        <w:spacing w:before="0" w:beforeAutospacing="0" w:line="360" w:lineRule="auto"/>
        <w:jc w:val="both"/>
        <w:rPr>
          <w:ins w:id="6" w:author="Ionut Hodoroaga" w:date="2021-05-07T01:17:00Z"/>
          <w:rFonts w:asciiTheme="minorHAnsi" w:eastAsiaTheme="minorHAnsi" w:hAnsiTheme="minorHAnsi" w:cstheme="minorHAnsi"/>
        </w:rPr>
      </w:pPr>
    </w:p>
    <w:p w14:paraId="52FFDA7B" w14:textId="4894EC7F" w:rsidR="00CA71EF" w:rsidRDefault="00CA71EF" w:rsidP="00CA71EF">
      <w:pPr>
        <w:pStyle w:val="NormalWeb"/>
        <w:shd w:val="clear" w:color="auto" w:fill="FFFFFF"/>
        <w:spacing w:before="0" w:beforeAutospacing="0" w:line="360" w:lineRule="auto"/>
        <w:jc w:val="both"/>
        <w:rPr>
          <w:rFonts w:asciiTheme="minorHAnsi" w:eastAsiaTheme="minorHAnsi" w:hAnsiTheme="minorHAnsi" w:cstheme="minorHAnsi"/>
        </w:rPr>
      </w:pPr>
      <w:ins w:id="7" w:author="Ionut Hodoroaga" w:date="2021-05-07T01:17:00Z">
        <w:r>
          <w:rPr>
            <w:rFonts w:asciiTheme="minorHAnsi" w:eastAsiaTheme="minorHAnsi" w:hAnsiTheme="minorHAnsi" w:cstheme="minorHAnsi"/>
          </w:rPr>
          <w:t xml:space="preserve">Is this thing above, this </w:t>
        </w:r>
        <w:r>
          <w:t>AGGREGATE AND FIRM-LEVEL STOCK RETURNS DURING PANDEMICS, IN REAL TIME</w:t>
        </w:r>
        <w:r>
          <w:t>??</w:t>
        </w:r>
      </w:ins>
    </w:p>
    <w:p w14:paraId="4EAE1C39" w14:textId="086EABA8" w:rsidR="00E44293" w:rsidRDefault="00E44293" w:rsidP="00E44293">
      <w:pPr>
        <w:pStyle w:val="NormalWeb"/>
        <w:shd w:val="clear" w:color="auto" w:fill="FFFFFF"/>
        <w:spacing w:before="0" w:beforeAutospacing="0" w:line="360" w:lineRule="auto"/>
        <w:jc w:val="both"/>
        <w:rPr>
          <w:rFonts w:asciiTheme="minorHAnsi" w:eastAsiaTheme="minorHAnsi" w:hAnsiTheme="minorHAnsi" w:cstheme="minorHAnsi"/>
          <w:sz w:val="22"/>
          <w:szCs w:val="22"/>
        </w:rPr>
      </w:pPr>
    </w:p>
    <w:p w14:paraId="18BBF073" w14:textId="7D0429E4" w:rsidR="00E44293" w:rsidRDefault="00E44293" w:rsidP="00E44293">
      <w:pPr>
        <w:pStyle w:val="NormalWeb"/>
        <w:shd w:val="clear" w:color="auto" w:fill="FFFFFF"/>
        <w:spacing w:before="0" w:beforeAutospacing="0" w:line="360" w:lineRule="auto"/>
        <w:jc w:val="both"/>
        <w:rPr>
          <w:rFonts w:asciiTheme="minorHAnsi" w:eastAsiaTheme="minorHAnsi" w:hAnsiTheme="minorHAnsi" w:cstheme="minorHAnsi"/>
          <w:sz w:val="22"/>
          <w:szCs w:val="22"/>
        </w:rPr>
      </w:pPr>
    </w:p>
    <w:p w14:paraId="23C7FFEC" w14:textId="4AB1D062" w:rsidR="00E44293" w:rsidRDefault="00E44293" w:rsidP="00E44293">
      <w:pPr>
        <w:pStyle w:val="NormalWeb"/>
        <w:shd w:val="clear" w:color="auto" w:fill="FFFFFF"/>
        <w:spacing w:before="0" w:beforeAutospacing="0" w:line="360" w:lineRule="auto"/>
        <w:jc w:val="both"/>
        <w:rPr>
          <w:rFonts w:asciiTheme="minorHAnsi" w:eastAsiaTheme="minorHAnsi" w:hAnsiTheme="minorHAnsi" w:cstheme="minorHAnsi"/>
          <w:sz w:val="22"/>
          <w:szCs w:val="22"/>
        </w:rPr>
      </w:pPr>
    </w:p>
    <w:p w14:paraId="22941CAA" w14:textId="77777777" w:rsidR="00E44293" w:rsidRDefault="00E44293" w:rsidP="00E44293">
      <w:pPr>
        <w:pStyle w:val="NormalWeb"/>
        <w:shd w:val="clear" w:color="auto" w:fill="FFFFFF"/>
        <w:spacing w:before="0" w:beforeAutospacing="0" w:line="360" w:lineRule="auto"/>
        <w:jc w:val="both"/>
        <w:rPr>
          <w:rFonts w:asciiTheme="minorHAnsi" w:eastAsiaTheme="minorHAnsi" w:hAnsiTheme="minorHAnsi" w:cstheme="minorHAnsi"/>
        </w:rPr>
      </w:pPr>
    </w:p>
    <w:p w14:paraId="24C9365F" w14:textId="7BBA7762" w:rsidR="003B5B78" w:rsidRPr="00E44293" w:rsidRDefault="003B5B78" w:rsidP="0031541E">
      <w:pPr>
        <w:pStyle w:val="NormalWeb"/>
        <w:shd w:val="clear" w:color="auto" w:fill="FFFFFF"/>
        <w:spacing w:before="0" w:beforeAutospacing="0" w:line="360" w:lineRule="auto"/>
        <w:jc w:val="both"/>
        <w:rPr>
          <w:rFonts w:asciiTheme="minorHAnsi" w:eastAsiaTheme="minorHAnsi" w:hAnsiTheme="minorHAnsi" w:cstheme="minorHAnsi"/>
          <w:b/>
          <w:bCs/>
        </w:rPr>
      </w:pPr>
      <w:r w:rsidRPr="00E44293">
        <w:rPr>
          <w:rFonts w:asciiTheme="minorHAnsi" w:eastAsiaTheme="minorHAnsi" w:hAnsiTheme="minorHAnsi" w:cstheme="minorHAnsi"/>
          <w:b/>
          <w:bCs/>
        </w:rPr>
        <w:t>References</w:t>
      </w:r>
    </w:p>
    <w:p w14:paraId="0748E42B" w14:textId="271C702A" w:rsidR="00E44293" w:rsidRPr="00E44293" w:rsidRDefault="00E44293" w:rsidP="00E44293">
      <w:pPr>
        <w:pStyle w:val="Bibliography"/>
        <w:ind w:left="720" w:hanging="720"/>
        <w:rPr>
          <w:noProof/>
          <w:sz w:val="24"/>
          <w:szCs w:val="24"/>
        </w:rPr>
      </w:pPr>
      <w:r w:rsidRPr="00E44293">
        <w:rPr>
          <w:noProof/>
          <w:sz w:val="24"/>
          <w:szCs w:val="24"/>
        </w:rPr>
        <w:lastRenderedPageBreak/>
        <w:t>Chen</w:t>
      </w:r>
      <w:r>
        <w:rPr>
          <w:noProof/>
          <w:sz w:val="24"/>
          <w:szCs w:val="24"/>
        </w:rPr>
        <w:t>g</w:t>
      </w:r>
      <w:r w:rsidRPr="00E44293">
        <w:rPr>
          <w:noProof/>
          <w:sz w:val="24"/>
          <w:szCs w:val="24"/>
        </w:rPr>
        <w:t xml:space="preserve">, M.-H., Jang, S., &amp; Kim, W. G. (2007, March). The impact of the SARS outbreak on Taiwanese hotel stock performance: An event-study approach. </w:t>
      </w:r>
      <w:r w:rsidRPr="00E44293">
        <w:rPr>
          <w:i/>
          <w:iCs/>
          <w:noProof/>
          <w:sz w:val="24"/>
          <w:szCs w:val="24"/>
        </w:rPr>
        <w:t>International Journal of Hospitality Management</w:t>
      </w:r>
      <w:r w:rsidRPr="00E44293">
        <w:rPr>
          <w:noProof/>
          <w:sz w:val="24"/>
          <w:szCs w:val="24"/>
        </w:rPr>
        <w:t>, 200-212.</w:t>
      </w:r>
    </w:p>
    <w:p w14:paraId="379456C3" w14:textId="5DA46879" w:rsidR="003B5B78" w:rsidRPr="00E44293" w:rsidRDefault="003B5B78" w:rsidP="003B5B78">
      <w:pPr>
        <w:pStyle w:val="Bibliography"/>
        <w:ind w:left="720" w:hanging="720"/>
        <w:rPr>
          <w:noProof/>
          <w:sz w:val="24"/>
          <w:szCs w:val="24"/>
        </w:rPr>
      </w:pPr>
      <w:r w:rsidRPr="00E44293">
        <w:rPr>
          <w:rFonts w:cstheme="minorHAnsi"/>
          <w:sz w:val="24"/>
          <w:szCs w:val="24"/>
        </w:rPr>
        <w:fldChar w:fldCharType="begin"/>
      </w:r>
      <w:r w:rsidRPr="00E44293">
        <w:rPr>
          <w:rFonts w:cstheme="minorHAnsi"/>
          <w:sz w:val="24"/>
          <w:szCs w:val="24"/>
        </w:rPr>
        <w:instrText xml:space="preserve"> BIBLIOGRAPHY  \l 1033 </w:instrText>
      </w:r>
      <w:r w:rsidRPr="00E44293">
        <w:rPr>
          <w:rFonts w:cstheme="minorHAnsi"/>
          <w:sz w:val="24"/>
          <w:szCs w:val="24"/>
        </w:rPr>
        <w:fldChar w:fldCharType="separate"/>
      </w:r>
      <w:r w:rsidRPr="00E44293">
        <w:rPr>
          <w:i/>
          <w:iCs/>
          <w:noProof/>
          <w:sz w:val="24"/>
          <w:szCs w:val="24"/>
        </w:rPr>
        <w:t>Google</w:t>
      </w:r>
      <w:r w:rsidRPr="00E44293">
        <w:rPr>
          <w:noProof/>
          <w:sz w:val="24"/>
          <w:szCs w:val="24"/>
        </w:rPr>
        <w:t>. (2021). Retrieved from Google : https://www.google.com/search?q=s%26p+500&amp;safe=strict&amp;rlz=1C1GCEA_enRO864RO864&amp;sxsrf=ALeKk02N-nMHc1941VdqWn3WmLTjNG57QA%3A1618609931967&amp;ei=Cwd6YJXHOoyAkwXggLuwDg&amp;oq=s%26p+500&amp;gs_lcp=Cgdnd3Mtd2l6EAMyBAgjECcyBQgAEJECMgQIABBDMgQIABBDMgQIABBDMgQIABBDMgIIADICC</w:t>
      </w:r>
    </w:p>
    <w:p w14:paraId="50D13D7F" w14:textId="6E95D049" w:rsidR="003B5B78" w:rsidRPr="00E44293" w:rsidRDefault="003B5B78" w:rsidP="003B5B78">
      <w:pPr>
        <w:pStyle w:val="Bibliography"/>
        <w:ind w:left="720" w:hanging="720"/>
        <w:rPr>
          <w:noProof/>
          <w:sz w:val="24"/>
          <w:szCs w:val="24"/>
        </w:rPr>
      </w:pPr>
      <w:r w:rsidRPr="00E44293">
        <w:rPr>
          <w:noProof/>
          <w:sz w:val="24"/>
          <w:szCs w:val="24"/>
        </w:rPr>
        <w:t xml:space="preserve">He, P., Sun, Y., Zhang, Y., &amp; Li, T. (2020). COVID–19’s Impact on Stock Prices Across Different Sectors—An Event Study Based on the Chinese Stock Market. </w:t>
      </w:r>
      <w:r w:rsidRPr="00E44293">
        <w:rPr>
          <w:i/>
          <w:iCs/>
          <w:noProof/>
          <w:sz w:val="24"/>
          <w:szCs w:val="24"/>
        </w:rPr>
        <w:t>Emerging Markets Finance and Trade</w:t>
      </w:r>
      <w:r w:rsidRPr="00E44293">
        <w:rPr>
          <w:noProof/>
          <w:sz w:val="24"/>
          <w:szCs w:val="24"/>
        </w:rPr>
        <w:t>, 2198-2212.</w:t>
      </w:r>
    </w:p>
    <w:p w14:paraId="0464860C" w14:textId="1F7721D9" w:rsidR="003B5B78" w:rsidRPr="00E44293" w:rsidRDefault="003B5B78" w:rsidP="003B5B78">
      <w:pPr>
        <w:rPr>
          <w:sz w:val="24"/>
          <w:szCs w:val="24"/>
        </w:rPr>
      </w:pPr>
      <w:r w:rsidRPr="00E44293">
        <w:rPr>
          <w:sz w:val="24"/>
          <w:szCs w:val="24"/>
        </w:rPr>
        <w:t xml:space="preserve">MacKinlay, A. Craig. "Event studies in economics and finance." </w:t>
      </w:r>
      <w:r w:rsidRPr="00E44293">
        <w:rPr>
          <w:i/>
          <w:iCs/>
          <w:sz w:val="24"/>
          <w:szCs w:val="24"/>
        </w:rPr>
        <w:t xml:space="preserve">Journal of economic literature </w:t>
      </w:r>
      <w:r w:rsidRPr="00E44293">
        <w:rPr>
          <w:sz w:val="24"/>
          <w:szCs w:val="24"/>
        </w:rPr>
        <w:t>35.1 (1997): 13-39.</w:t>
      </w:r>
    </w:p>
    <w:p w14:paraId="063115FE" w14:textId="34DAE37C" w:rsidR="003B5B78" w:rsidRPr="00E44293" w:rsidRDefault="003B5B78" w:rsidP="003B5B78">
      <w:pPr>
        <w:pStyle w:val="Bibliography"/>
        <w:ind w:left="720" w:hanging="720"/>
        <w:rPr>
          <w:noProof/>
          <w:sz w:val="24"/>
          <w:szCs w:val="24"/>
        </w:rPr>
      </w:pPr>
      <w:r w:rsidRPr="00E44293">
        <w:rPr>
          <w:i/>
          <w:iCs/>
          <w:noProof/>
          <w:sz w:val="24"/>
          <w:szCs w:val="24"/>
        </w:rPr>
        <w:t>The American Journal of Managed Care</w:t>
      </w:r>
      <w:r w:rsidRPr="00E44293">
        <w:rPr>
          <w:noProof/>
          <w:sz w:val="24"/>
          <w:szCs w:val="24"/>
        </w:rPr>
        <w:t>. (2020). Retrieved from AJMC: https://www.ajmc.com/view/a-timeline-of-covid19-developments-in-2020</w:t>
      </w:r>
    </w:p>
    <w:p w14:paraId="4C55DFBE" w14:textId="50CDB812" w:rsidR="00E44293" w:rsidRPr="00E44293" w:rsidRDefault="00E44293" w:rsidP="00E44293">
      <w:pPr>
        <w:pStyle w:val="Bibliography"/>
        <w:ind w:left="720" w:hanging="720"/>
        <w:rPr>
          <w:noProof/>
          <w:sz w:val="24"/>
          <w:szCs w:val="24"/>
        </w:rPr>
      </w:pPr>
      <w:r w:rsidRPr="00E44293">
        <w:rPr>
          <w:noProof/>
          <w:sz w:val="24"/>
          <w:szCs w:val="24"/>
        </w:rPr>
        <w:t xml:space="preserve">Qin, X., Huang, G., Huayu, S., &amp; Fu, M. (2020). COVID-19 Pandemic and Firm-level Cash Holding—Moderating Effect of Goodwill and Goodwill Impairment. </w:t>
      </w:r>
      <w:r w:rsidRPr="00E44293">
        <w:rPr>
          <w:i/>
          <w:iCs/>
          <w:noProof/>
          <w:sz w:val="24"/>
          <w:szCs w:val="24"/>
        </w:rPr>
        <w:t>Emerging Markets Finance and Trade</w:t>
      </w:r>
      <w:r w:rsidRPr="00E44293">
        <w:rPr>
          <w:noProof/>
          <w:sz w:val="24"/>
          <w:szCs w:val="24"/>
        </w:rPr>
        <w:t>, 2243-2258.</w:t>
      </w:r>
    </w:p>
    <w:p w14:paraId="2425777C" w14:textId="066D594A" w:rsidR="003B5B78" w:rsidRPr="00E44293" w:rsidRDefault="003B5B78" w:rsidP="003B5B78">
      <w:pPr>
        <w:pStyle w:val="Bibliography"/>
        <w:ind w:left="720" w:hanging="720"/>
        <w:rPr>
          <w:noProof/>
          <w:sz w:val="24"/>
          <w:szCs w:val="24"/>
        </w:rPr>
      </w:pPr>
      <w:r w:rsidRPr="00E44293">
        <w:rPr>
          <w:noProof/>
          <w:sz w:val="24"/>
          <w:szCs w:val="24"/>
        </w:rPr>
        <w:t xml:space="preserve">Xiong, H., Wu, Z., Hou, F., &amp; Zhang, J. (2020, July). Which Firm-specific Characteristics Affect the Market Reaction of Chinese Listed Companies to the COVID-19 Pandemic? </w:t>
      </w:r>
      <w:r w:rsidRPr="00E44293">
        <w:rPr>
          <w:i/>
          <w:iCs/>
          <w:noProof/>
          <w:sz w:val="24"/>
          <w:szCs w:val="24"/>
        </w:rPr>
        <w:t>Emerging Markets Finance and Trade</w:t>
      </w:r>
      <w:r w:rsidRPr="00E44293">
        <w:rPr>
          <w:noProof/>
          <w:sz w:val="24"/>
          <w:szCs w:val="24"/>
        </w:rPr>
        <w:t>, 2231-2242.</w:t>
      </w:r>
    </w:p>
    <w:p w14:paraId="2C0723C8" w14:textId="77777777" w:rsidR="00E44293" w:rsidRPr="00E44293" w:rsidRDefault="00E44293" w:rsidP="00E44293">
      <w:pPr>
        <w:rPr>
          <w:sz w:val="24"/>
          <w:szCs w:val="24"/>
        </w:rPr>
      </w:pPr>
    </w:p>
    <w:p w14:paraId="50304D83" w14:textId="77777777" w:rsidR="003B5B78" w:rsidRPr="00E44293" w:rsidRDefault="003B5B78" w:rsidP="003B5B78">
      <w:pPr>
        <w:rPr>
          <w:sz w:val="24"/>
          <w:szCs w:val="24"/>
        </w:rPr>
      </w:pPr>
    </w:p>
    <w:p w14:paraId="3AB03F86" w14:textId="4C658B17" w:rsidR="003B5B78" w:rsidRPr="00E44293" w:rsidRDefault="003B5B78" w:rsidP="003B5B78">
      <w:pPr>
        <w:pStyle w:val="NormalWeb"/>
        <w:shd w:val="clear" w:color="auto" w:fill="FFFFFF"/>
        <w:spacing w:before="0" w:beforeAutospacing="0" w:line="360" w:lineRule="auto"/>
        <w:jc w:val="both"/>
        <w:rPr>
          <w:rFonts w:asciiTheme="minorHAnsi" w:eastAsiaTheme="minorHAnsi" w:hAnsiTheme="minorHAnsi" w:cstheme="minorHAnsi"/>
        </w:rPr>
      </w:pPr>
      <w:r w:rsidRPr="00E44293">
        <w:rPr>
          <w:rFonts w:asciiTheme="minorHAnsi" w:eastAsiaTheme="minorHAnsi" w:hAnsiTheme="minorHAnsi" w:cstheme="minorHAnsi"/>
        </w:rPr>
        <w:fldChar w:fldCharType="end"/>
      </w:r>
    </w:p>
    <w:p w14:paraId="351AC4E2" w14:textId="5EFFCF17" w:rsidR="0031541E" w:rsidRPr="00E44293" w:rsidRDefault="0031541E" w:rsidP="0031541E">
      <w:pPr>
        <w:pStyle w:val="NormalWeb"/>
        <w:shd w:val="clear" w:color="auto" w:fill="FFFFFF"/>
        <w:spacing w:before="0" w:beforeAutospacing="0" w:line="360" w:lineRule="auto"/>
        <w:jc w:val="both"/>
        <w:rPr>
          <w:rFonts w:asciiTheme="minorHAnsi" w:eastAsiaTheme="minorHAnsi" w:hAnsiTheme="minorHAnsi" w:cstheme="minorHAnsi"/>
        </w:rPr>
      </w:pPr>
    </w:p>
    <w:p w14:paraId="538CCD73" w14:textId="2E37A631" w:rsidR="00A40086" w:rsidRPr="00B25FFA" w:rsidRDefault="002621D2" w:rsidP="0031541E">
      <w:pPr>
        <w:spacing w:line="360" w:lineRule="auto"/>
        <w:jc w:val="both"/>
        <w:rPr>
          <w:rFonts w:cstheme="minorHAnsi"/>
          <w:sz w:val="24"/>
          <w:szCs w:val="24"/>
        </w:rPr>
      </w:pPr>
      <w:ins w:id="8" w:author="Ionut Hodoroaga" w:date="2021-05-06T19:55:00Z">
        <w:r>
          <w:t>The results in Table I also reveal that the various fundamental variables are correlated. For example, stocks with high book to market ratios tend to have relatively high cash flow yield ratios. Hence, a multivariate analysis is required to disentangle the impact of the various fundamental variables on stock returns.</w:t>
        </w:r>
      </w:ins>
    </w:p>
    <w:sectPr w:rsidR="00A40086" w:rsidRPr="00B25FF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73C6B" w14:textId="77777777" w:rsidR="00A25435" w:rsidRDefault="00A25435" w:rsidP="00EB2C29">
      <w:pPr>
        <w:spacing w:after="0" w:line="240" w:lineRule="auto"/>
      </w:pPr>
      <w:r>
        <w:separator/>
      </w:r>
    </w:p>
  </w:endnote>
  <w:endnote w:type="continuationSeparator" w:id="0">
    <w:p w14:paraId="15DB6CD5" w14:textId="77777777" w:rsidR="00A25435" w:rsidRDefault="00A25435" w:rsidP="00EB2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53B9D" w14:textId="77777777" w:rsidR="00A25435" w:rsidRDefault="00A25435" w:rsidP="00EB2C29">
      <w:pPr>
        <w:spacing w:after="0" w:line="240" w:lineRule="auto"/>
      </w:pPr>
      <w:r>
        <w:separator/>
      </w:r>
    </w:p>
  </w:footnote>
  <w:footnote w:type="continuationSeparator" w:id="0">
    <w:p w14:paraId="10E6CAEE" w14:textId="77777777" w:rsidR="00A25435" w:rsidRDefault="00A25435" w:rsidP="00EB2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576161"/>
      <w:docPartObj>
        <w:docPartGallery w:val="Page Numbers (Top of Page)"/>
        <w:docPartUnique/>
      </w:docPartObj>
    </w:sdtPr>
    <w:sdtEndPr>
      <w:rPr>
        <w:noProof/>
      </w:rPr>
    </w:sdtEndPr>
    <w:sdtContent>
      <w:p w14:paraId="26C56445" w14:textId="299D2033" w:rsidR="00EB2C29" w:rsidRDefault="00EB2C29">
        <w:pPr>
          <w:pStyle w:val="Header"/>
        </w:pPr>
        <w:r>
          <w:fldChar w:fldCharType="begin"/>
        </w:r>
        <w:r>
          <w:instrText xml:space="preserve"> PAGE   \* MERGEFORMAT </w:instrText>
        </w:r>
        <w:r>
          <w:fldChar w:fldCharType="separate"/>
        </w:r>
        <w:r>
          <w:rPr>
            <w:noProof/>
          </w:rPr>
          <w:t>2</w:t>
        </w:r>
        <w:r>
          <w:rPr>
            <w:noProof/>
          </w:rPr>
          <w:fldChar w:fldCharType="end"/>
        </w:r>
      </w:p>
    </w:sdtContent>
  </w:sdt>
  <w:p w14:paraId="44B6C9CE" w14:textId="77777777" w:rsidR="00EB2C29" w:rsidRDefault="00EB2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316"/>
    <w:multiLevelType w:val="hybridMultilevel"/>
    <w:tmpl w:val="F200ADCC"/>
    <w:lvl w:ilvl="0" w:tplc="AF421E84">
      <w:numFmt w:val="bullet"/>
      <w:lvlText w:val="-"/>
      <w:lvlJc w:val="left"/>
      <w:pPr>
        <w:ind w:left="720" w:hanging="360"/>
      </w:pPr>
      <w:rPr>
        <w:rFonts w:ascii="Calibri" w:eastAsiaTheme="minorHAnsi" w:hAnsi="Calibri" w:cs="Calibr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5194E"/>
    <w:multiLevelType w:val="hybridMultilevel"/>
    <w:tmpl w:val="42C04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D6EC3"/>
    <w:multiLevelType w:val="hybridMultilevel"/>
    <w:tmpl w:val="48321BF0"/>
    <w:lvl w:ilvl="0" w:tplc="D14C0140">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onut Hodoroaga">
    <w15:presenceInfo w15:providerId="None" w15:userId="Ionut Hodoro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10"/>
    <w:rsid w:val="00015F09"/>
    <w:rsid w:val="00021515"/>
    <w:rsid w:val="00060BF6"/>
    <w:rsid w:val="00074EFC"/>
    <w:rsid w:val="000D237B"/>
    <w:rsid w:val="000E2637"/>
    <w:rsid w:val="000E6EBF"/>
    <w:rsid w:val="0012594C"/>
    <w:rsid w:val="001E4683"/>
    <w:rsid w:val="00255111"/>
    <w:rsid w:val="002621D2"/>
    <w:rsid w:val="0031541E"/>
    <w:rsid w:val="00331194"/>
    <w:rsid w:val="003B5B78"/>
    <w:rsid w:val="0049601C"/>
    <w:rsid w:val="004A10E1"/>
    <w:rsid w:val="004B78B1"/>
    <w:rsid w:val="004C75E5"/>
    <w:rsid w:val="00576FFF"/>
    <w:rsid w:val="005A6DFB"/>
    <w:rsid w:val="006740FA"/>
    <w:rsid w:val="00705C5A"/>
    <w:rsid w:val="0079643D"/>
    <w:rsid w:val="007B6F2E"/>
    <w:rsid w:val="007D775A"/>
    <w:rsid w:val="00896683"/>
    <w:rsid w:val="008D653A"/>
    <w:rsid w:val="009106BB"/>
    <w:rsid w:val="00920AEA"/>
    <w:rsid w:val="00945DA2"/>
    <w:rsid w:val="00992D84"/>
    <w:rsid w:val="009E5014"/>
    <w:rsid w:val="00A25435"/>
    <w:rsid w:val="00A34657"/>
    <w:rsid w:val="00A40086"/>
    <w:rsid w:val="00A94C3A"/>
    <w:rsid w:val="00B25FFA"/>
    <w:rsid w:val="00B76AA3"/>
    <w:rsid w:val="00BA61F5"/>
    <w:rsid w:val="00BB47EC"/>
    <w:rsid w:val="00C95585"/>
    <w:rsid w:val="00CA71EF"/>
    <w:rsid w:val="00CB6E4B"/>
    <w:rsid w:val="00D23175"/>
    <w:rsid w:val="00D366EC"/>
    <w:rsid w:val="00E055E3"/>
    <w:rsid w:val="00E44293"/>
    <w:rsid w:val="00E61210"/>
    <w:rsid w:val="00E6381D"/>
    <w:rsid w:val="00EB2C29"/>
    <w:rsid w:val="00ED55F4"/>
    <w:rsid w:val="00EF777B"/>
    <w:rsid w:val="00F5450D"/>
    <w:rsid w:val="00FD601F"/>
    <w:rsid w:val="00FE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1D3D"/>
  <w15:chartTrackingRefBased/>
  <w15:docId w15:val="{46ED39F0-18DE-47F3-8D40-F5425B53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B7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210"/>
    <w:pPr>
      <w:ind w:left="720"/>
      <w:contextualSpacing/>
    </w:pPr>
  </w:style>
  <w:style w:type="character" w:customStyle="1" w:styleId="hlfld-contribauthor">
    <w:name w:val="hlfld-contribauthor"/>
    <w:basedOn w:val="DefaultParagraphFont"/>
    <w:rsid w:val="00E61210"/>
  </w:style>
  <w:style w:type="character" w:customStyle="1" w:styleId="nlmgiven-names">
    <w:name w:val="nlm_given-names"/>
    <w:basedOn w:val="DefaultParagraphFont"/>
    <w:rsid w:val="00E61210"/>
  </w:style>
  <w:style w:type="character" w:customStyle="1" w:styleId="nlmyear">
    <w:name w:val="nlm_year"/>
    <w:basedOn w:val="DefaultParagraphFont"/>
    <w:rsid w:val="00E61210"/>
  </w:style>
  <w:style w:type="character" w:customStyle="1" w:styleId="nlmarticle-title">
    <w:name w:val="nlm_article-title"/>
    <w:basedOn w:val="DefaultParagraphFont"/>
    <w:rsid w:val="00E61210"/>
  </w:style>
  <w:style w:type="character" w:customStyle="1" w:styleId="nlmfpage">
    <w:name w:val="nlm_fpage"/>
    <w:basedOn w:val="DefaultParagraphFont"/>
    <w:rsid w:val="00E61210"/>
  </w:style>
  <w:style w:type="character" w:customStyle="1" w:styleId="nlmlpage">
    <w:name w:val="nlm_lpage"/>
    <w:basedOn w:val="DefaultParagraphFont"/>
    <w:rsid w:val="00E61210"/>
  </w:style>
  <w:style w:type="character" w:customStyle="1" w:styleId="nlmpub-id">
    <w:name w:val="nlm_pub-id"/>
    <w:basedOn w:val="DefaultParagraphFont"/>
    <w:rsid w:val="00E61210"/>
  </w:style>
  <w:style w:type="character" w:styleId="Strong">
    <w:name w:val="Strong"/>
    <w:basedOn w:val="DefaultParagraphFont"/>
    <w:uiPriority w:val="22"/>
    <w:qFormat/>
    <w:rsid w:val="00E6381D"/>
    <w:rPr>
      <w:b/>
      <w:bCs/>
    </w:rPr>
  </w:style>
  <w:style w:type="paragraph" w:styleId="NormalWeb">
    <w:name w:val="Normal (Web)"/>
    <w:basedOn w:val="Normal"/>
    <w:uiPriority w:val="99"/>
    <w:semiHidden/>
    <w:unhideWhenUsed/>
    <w:rsid w:val="00E638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381D"/>
    <w:rPr>
      <w:color w:val="0000FF"/>
      <w:u w:val="single"/>
    </w:rPr>
  </w:style>
  <w:style w:type="character" w:customStyle="1" w:styleId="ref-lnk">
    <w:name w:val="ref-lnk"/>
    <w:basedOn w:val="DefaultParagraphFont"/>
    <w:rsid w:val="00015F09"/>
  </w:style>
  <w:style w:type="character" w:styleId="UnresolvedMention">
    <w:name w:val="Unresolved Mention"/>
    <w:basedOn w:val="DefaultParagraphFont"/>
    <w:uiPriority w:val="99"/>
    <w:semiHidden/>
    <w:unhideWhenUsed/>
    <w:rsid w:val="00331194"/>
    <w:rPr>
      <w:color w:val="605E5C"/>
      <w:shd w:val="clear" w:color="auto" w:fill="E1DFDD"/>
    </w:rPr>
  </w:style>
  <w:style w:type="paragraph" w:styleId="Header">
    <w:name w:val="header"/>
    <w:basedOn w:val="Normal"/>
    <w:link w:val="HeaderChar"/>
    <w:uiPriority w:val="99"/>
    <w:unhideWhenUsed/>
    <w:rsid w:val="00EB2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C29"/>
  </w:style>
  <w:style w:type="paragraph" w:styleId="Footer">
    <w:name w:val="footer"/>
    <w:basedOn w:val="Normal"/>
    <w:link w:val="FooterChar"/>
    <w:uiPriority w:val="99"/>
    <w:unhideWhenUsed/>
    <w:rsid w:val="00EB2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C29"/>
  </w:style>
  <w:style w:type="character" w:customStyle="1" w:styleId="Heading1Char">
    <w:name w:val="Heading 1 Char"/>
    <w:basedOn w:val="DefaultParagraphFont"/>
    <w:link w:val="Heading1"/>
    <w:uiPriority w:val="9"/>
    <w:rsid w:val="003B5B78"/>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B5B78"/>
  </w:style>
  <w:style w:type="character" w:customStyle="1" w:styleId="title-text">
    <w:name w:val="title-text"/>
    <w:basedOn w:val="DefaultParagraphFont"/>
    <w:rsid w:val="00021515"/>
  </w:style>
  <w:style w:type="character" w:styleId="FollowedHyperlink">
    <w:name w:val="FollowedHyperlink"/>
    <w:basedOn w:val="DefaultParagraphFont"/>
    <w:uiPriority w:val="99"/>
    <w:semiHidden/>
    <w:unhideWhenUsed/>
    <w:rsid w:val="00CA71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063">
      <w:bodyDiv w:val="1"/>
      <w:marLeft w:val="0"/>
      <w:marRight w:val="0"/>
      <w:marTop w:val="0"/>
      <w:marBottom w:val="0"/>
      <w:divBdr>
        <w:top w:val="none" w:sz="0" w:space="0" w:color="auto"/>
        <w:left w:val="none" w:sz="0" w:space="0" w:color="auto"/>
        <w:bottom w:val="none" w:sz="0" w:space="0" w:color="auto"/>
        <w:right w:val="none" w:sz="0" w:space="0" w:color="auto"/>
      </w:divBdr>
    </w:div>
    <w:div w:id="67966646">
      <w:bodyDiv w:val="1"/>
      <w:marLeft w:val="0"/>
      <w:marRight w:val="0"/>
      <w:marTop w:val="0"/>
      <w:marBottom w:val="0"/>
      <w:divBdr>
        <w:top w:val="none" w:sz="0" w:space="0" w:color="auto"/>
        <w:left w:val="none" w:sz="0" w:space="0" w:color="auto"/>
        <w:bottom w:val="none" w:sz="0" w:space="0" w:color="auto"/>
        <w:right w:val="none" w:sz="0" w:space="0" w:color="auto"/>
      </w:divBdr>
    </w:div>
    <w:div w:id="166408019">
      <w:bodyDiv w:val="1"/>
      <w:marLeft w:val="0"/>
      <w:marRight w:val="0"/>
      <w:marTop w:val="0"/>
      <w:marBottom w:val="0"/>
      <w:divBdr>
        <w:top w:val="none" w:sz="0" w:space="0" w:color="auto"/>
        <w:left w:val="none" w:sz="0" w:space="0" w:color="auto"/>
        <w:bottom w:val="none" w:sz="0" w:space="0" w:color="auto"/>
        <w:right w:val="none" w:sz="0" w:space="0" w:color="auto"/>
      </w:divBdr>
    </w:div>
    <w:div w:id="296299532">
      <w:bodyDiv w:val="1"/>
      <w:marLeft w:val="0"/>
      <w:marRight w:val="0"/>
      <w:marTop w:val="0"/>
      <w:marBottom w:val="0"/>
      <w:divBdr>
        <w:top w:val="none" w:sz="0" w:space="0" w:color="auto"/>
        <w:left w:val="none" w:sz="0" w:space="0" w:color="auto"/>
        <w:bottom w:val="none" w:sz="0" w:space="0" w:color="auto"/>
        <w:right w:val="none" w:sz="0" w:space="0" w:color="auto"/>
      </w:divBdr>
    </w:div>
    <w:div w:id="320348325">
      <w:bodyDiv w:val="1"/>
      <w:marLeft w:val="0"/>
      <w:marRight w:val="0"/>
      <w:marTop w:val="0"/>
      <w:marBottom w:val="0"/>
      <w:divBdr>
        <w:top w:val="none" w:sz="0" w:space="0" w:color="auto"/>
        <w:left w:val="none" w:sz="0" w:space="0" w:color="auto"/>
        <w:bottom w:val="none" w:sz="0" w:space="0" w:color="auto"/>
        <w:right w:val="none" w:sz="0" w:space="0" w:color="auto"/>
      </w:divBdr>
    </w:div>
    <w:div w:id="385758364">
      <w:bodyDiv w:val="1"/>
      <w:marLeft w:val="0"/>
      <w:marRight w:val="0"/>
      <w:marTop w:val="0"/>
      <w:marBottom w:val="0"/>
      <w:divBdr>
        <w:top w:val="none" w:sz="0" w:space="0" w:color="auto"/>
        <w:left w:val="none" w:sz="0" w:space="0" w:color="auto"/>
        <w:bottom w:val="none" w:sz="0" w:space="0" w:color="auto"/>
        <w:right w:val="none" w:sz="0" w:space="0" w:color="auto"/>
      </w:divBdr>
    </w:div>
    <w:div w:id="794443020">
      <w:bodyDiv w:val="1"/>
      <w:marLeft w:val="0"/>
      <w:marRight w:val="0"/>
      <w:marTop w:val="0"/>
      <w:marBottom w:val="0"/>
      <w:divBdr>
        <w:top w:val="none" w:sz="0" w:space="0" w:color="auto"/>
        <w:left w:val="none" w:sz="0" w:space="0" w:color="auto"/>
        <w:bottom w:val="none" w:sz="0" w:space="0" w:color="auto"/>
        <w:right w:val="none" w:sz="0" w:space="0" w:color="auto"/>
      </w:divBdr>
    </w:div>
    <w:div w:id="1079789829">
      <w:bodyDiv w:val="1"/>
      <w:marLeft w:val="0"/>
      <w:marRight w:val="0"/>
      <w:marTop w:val="0"/>
      <w:marBottom w:val="0"/>
      <w:divBdr>
        <w:top w:val="none" w:sz="0" w:space="0" w:color="auto"/>
        <w:left w:val="none" w:sz="0" w:space="0" w:color="auto"/>
        <w:bottom w:val="none" w:sz="0" w:space="0" w:color="auto"/>
        <w:right w:val="none" w:sz="0" w:space="0" w:color="auto"/>
      </w:divBdr>
    </w:div>
    <w:div w:id="1172111955">
      <w:bodyDiv w:val="1"/>
      <w:marLeft w:val="0"/>
      <w:marRight w:val="0"/>
      <w:marTop w:val="0"/>
      <w:marBottom w:val="0"/>
      <w:divBdr>
        <w:top w:val="none" w:sz="0" w:space="0" w:color="auto"/>
        <w:left w:val="none" w:sz="0" w:space="0" w:color="auto"/>
        <w:bottom w:val="none" w:sz="0" w:space="0" w:color="auto"/>
        <w:right w:val="none" w:sz="0" w:space="0" w:color="auto"/>
      </w:divBdr>
    </w:div>
    <w:div w:id="1292709661">
      <w:bodyDiv w:val="1"/>
      <w:marLeft w:val="0"/>
      <w:marRight w:val="0"/>
      <w:marTop w:val="0"/>
      <w:marBottom w:val="0"/>
      <w:divBdr>
        <w:top w:val="none" w:sz="0" w:space="0" w:color="auto"/>
        <w:left w:val="none" w:sz="0" w:space="0" w:color="auto"/>
        <w:bottom w:val="none" w:sz="0" w:space="0" w:color="auto"/>
        <w:right w:val="none" w:sz="0" w:space="0" w:color="auto"/>
      </w:divBdr>
    </w:div>
    <w:div w:id="1485464281">
      <w:bodyDiv w:val="1"/>
      <w:marLeft w:val="0"/>
      <w:marRight w:val="0"/>
      <w:marTop w:val="0"/>
      <w:marBottom w:val="0"/>
      <w:divBdr>
        <w:top w:val="none" w:sz="0" w:space="0" w:color="auto"/>
        <w:left w:val="none" w:sz="0" w:space="0" w:color="auto"/>
        <w:bottom w:val="none" w:sz="0" w:space="0" w:color="auto"/>
        <w:right w:val="none" w:sz="0" w:space="0" w:color="auto"/>
      </w:divBdr>
    </w:div>
    <w:div w:id="1575821443">
      <w:bodyDiv w:val="1"/>
      <w:marLeft w:val="0"/>
      <w:marRight w:val="0"/>
      <w:marTop w:val="0"/>
      <w:marBottom w:val="0"/>
      <w:divBdr>
        <w:top w:val="none" w:sz="0" w:space="0" w:color="auto"/>
        <w:left w:val="none" w:sz="0" w:space="0" w:color="auto"/>
        <w:bottom w:val="none" w:sz="0" w:space="0" w:color="auto"/>
        <w:right w:val="none" w:sz="0" w:space="0" w:color="auto"/>
      </w:divBdr>
    </w:div>
    <w:div w:id="1607420256">
      <w:bodyDiv w:val="1"/>
      <w:marLeft w:val="0"/>
      <w:marRight w:val="0"/>
      <w:marTop w:val="0"/>
      <w:marBottom w:val="0"/>
      <w:divBdr>
        <w:top w:val="none" w:sz="0" w:space="0" w:color="auto"/>
        <w:left w:val="none" w:sz="0" w:space="0" w:color="auto"/>
        <w:bottom w:val="none" w:sz="0" w:space="0" w:color="auto"/>
        <w:right w:val="none" w:sz="0" w:space="0" w:color="auto"/>
      </w:divBdr>
    </w:div>
    <w:div w:id="1633946093">
      <w:bodyDiv w:val="1"/>
      <w:marLeft w:val="0"/>
      <w:marRight w:val="0"/>
      <w:marTop w:val="0"/>
      <w:marBottom w:val="0"/>
      <w:divBdr>
        <w:top w:val="none" w:sz="0" w:space="0" w:color="auto"/>
        <w:left w:val="none" w:sz="0" w:space="0" w:color="auto"/>
        <w:bottom w:val="none" w:sz="0" w:space="0" w:color="auto"/>
        <w:right w:val="none" w:sz="0" w:space="0" w:color="auto"/>
      </w:divBdr>
    </w:div>
    <w:div w:id="1884514324">
      <w:bodyDiv w:val="1"/>
      <w:marLeft w:val="0"/>
      <w:marRight w:val="0"/>
      <w:marTop w:val="0"/>
      <w:marBottom w:val="0"/>
      <w:divBdr>
        <w:top w:val="none" w:sz="0" w:space="0" w:color="auto"/>
        <w:left w:val="none" w:sz="0" w:space="0" w:color="auto"/>
        <w:bottom w:val="none" w:sz="0" w:space="0" w:color="auto"/>
        <w:right w:val="none" w:sz="0" w:space="0" w:color="auto"/>
      </w:divBdr>
    </w:div>
    <w:div w:id="201833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eur.idm.oclc.org/science/article/pii/S2214635020300800?casa_token=zCVvQV_C5t8AAAAA:RdplTFQjZmr10ieTgW7HciE_uDTxmoz1X-DDM5tpouf_SDQSsbFBiUM6K2y7nVMEz0J0LHHQQU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tatista.com/statistics/580711/sandp-500-returns-by-s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Xio20</b:Tag>
    <b:SourceType>JournalArticle</b:SourceType>
    <b:Guid>{025E663E-FC75-4789-BA10-5E6C77EAC381}</b:Guid>
    <b:Author>
      <b:Author>
        <b:NameList>
          <b:Person>
            <b:Last>Xiong</b:Last>
            <b:First>Hao</b:First>
          </b:Person>
          <b:Person>
            <b:Last>Wu</b:Last>
            <b:First>Zuofeng</b:First>
          </b:Person>
          <b:Person>
            <b:Last>Hou</b:Last>
            <b:First>Fei</b:First>
          </b:Person>
          <b:Person>
            <b:Last>Zhang</b:Last>
            <b:First>Jun</b:First>
          </b:Person>
        </b:NameList>
      </b:Author>
    </b:Author>
    <b:Title>Which Firm-specific Characteristics Affect the Market Reaction of Chinese Listed Companies to the COVID-19 Pandemic?</b:Title>
    <b:Year>2020</b:Year>
    <b:Month>July</b:Month>
    <b:JournalName>Emerging Markets Finance and Trade</b:JournalName>
    <b:Pages>2231-2242</b:Pages>
    <b:RefOrder>1</b:RefOrder>
  </b:Source>
  <b:Source>
    <b:Tag>The20</b:Tag>
    <b:SourceType>InternetSite</b:SourceType>
    <b:Guid>{5ADC444A-7D04-4BE3-BE55-97F4BD38170A}</b:Guid>
    <b:Title>The American Journal of Managed Care</b:Title>
    <b:InternetSiteTitle>AJMC</b:InternetSiteTitle>
    <b:Year>2020</b:Year>
    <b:URL>https://www.ajmc.com/view/a-timeline-of-covid19-developments-in-2020</b:URL>
    <b:RefOrder>2</b:RefOrder>
  </b:Source>
  <b:Source>
    <b:Tag>Goo21</b:Tag>
    <b:SourceType>InternetSite</b:SourceType>
    <b:Guid>{48A81994-0F57-4E6E-ACE3-5996830DC6E4}</b:Guid>
    <b:Title>Google</b:Title>
    <b:InternetSiteTitle>Google </b:InternetSiteTitle>
    <b:Year>2021</b:Year>
    <b:URL>https://www.google.com/search?q=s%26p+500&amp;safe=strict&amp;rlz=1C1GCEA_enRO864RO864&amp;sxsrf=ALeKk02N-nMHc1941VdqWn3WmLTjNG57QA%3A1618609931967&amp;ei=Cwd6YJXHOoyAkwXggLuwDg&amp;oq=s%26p+500&amp;gs_lcp=Cgdnd3Mtd2l6EAMyBAgjECcyBQgAEJECMgQIABBDMgQIABBDMgQIABBDMgQIABBDMgIIADICC</b:URL>
    <b:RefOrder>3</b:RefOrder>
  </b:Source>
  <b:Source>
    <b:Tag>HeP20</b:Tag>
    <b:SourceType>JournalArticle</b:SourceType>
    <b:Guid>{3F149070-EDB7-4159-9DBD-A14AAB24035D}</b:Guid>
    <b:Title>COVID–19’s Impact on Stock Prices Across Different Sectors—An Event Study Based on the Chinese Stock Market</b:Title>
    <b:Year>2020</b:Year>
    <b:Author>
      <b:Author>
        <b:NameList>
          <b:Person>
            <b:Last>He</b:Last>
            <b:First>Pinglin</b:First>
          </b:Person>
          <b:Person>
            <b:Last>Sun</b:Last>
            <b:First>Yulong</b:First>
          </b:Person>
          <b:Person>
            <b:Last>Zhang</b:Last>
            <b:First>Ying</b:First>
          </b:Person>
          <b:Person>
            <b:Last>Li</b:Last>
            <b:First>Tao</b:First>
          </b:Person>
        </b:NameList>
      </b:Author>
    </b:Author>
    <b:JournalName>Emerging Markets Finance and Trade</b:JournalName>
    <b:Pages>2198-2212</b:Pages>
    <b:RefOrder>4</b:RefOrder>
  </b:Source>
  <b:Source>
    <b:Tag>Qin20</b:Tag>
    <b:SourceType>JournalArticle</b:SourceType>
    <b:Guid>{E5F65194-3809-4856-BA49-02CBE737053F}</b:Guid>
    <b:Author>
      <b:Author>
        <b:NameList>
          <b:Person>
            <b:Last>Qin</b:Last>
            <b:First>Xiuhong</b:First>
          </b:Person>
          <b:Person>
            <b:Last>Huang</b:Last>
            <b:First>Guoliang</b:First>
          </b:Person>
          <b:Person>
            <b:Last>Huayu</b:Last>
            <b:First>Shen</b:First>
          </b:Person>
          <b:Person>
            <b:Last>Fu</b:Last>
            <b:First>Mengyao</b:First>
          </b:Person>
        </b:NameList>
      </b:Author>
    </b:Author>
    <b:Title>COVID-19 Pandemic and Firm-level Cash Holding—Moderating Effect of Goodwill and Goodwill Impairment</b:Title>
    <b:JournalName>Emerging Markets Finance and Trade</b:JournalName>
    <b:Year>2020</b:Year>
    <b:Pages>2243-2258</b:Pages>
    <b:RefOrder>5</b:RefOrder>
  </b:Source>
  <b:Source>
    <b:Tag>Chech</b:Tag>
    <b:SourceType>JournalArticle</b:SourceType>
    <b:Guid>{16EE2CE6-6CA8-49AC-829E-D8DE5E2AFBE0}</b:Guid>
    <b:Author>
      <b:Author>
        <b:NameList>
          <b:Person>
            <b:Last>Chen</b:Last>
            <b:First>Ming-Hsiang</b:First>
          </b:Person>
          <b:Person>
            <b:Last>Jang</b:Last>
            <b:First>SooCheong</b:First>
          </b:Person>
          <b:Person>
            <b:Last>Kim</b:Last>
            <b:First>Woo</b:First>
            <b:Middle>Gon</b:Middle>
          </b:Person>
        </b:NameList>
      </b:Author>
    </b:Author>
    <b:Title>The impact of the SARS outbreak on Taiwanese hotel stock performance: An event-study approach</b:Title>
    <b:JournalName>International Journal of Hospitality Management</b:JournalName>
    <b:Year>2007, March</b:Year>
    <b:Pages>200-212</b:Pages>
    <b:RefOrder>6</b:RefOrder>
  </b:Source>
</b:Sources>
</file>

<file path=customXml/itemProps1.xml><?xml version="1.0" encoding="utf-8"?>
<ds:datastoreItem xmlns:ds="http://schemas.openxmlformats.org/officeDocument/2006/customXml" ds:itemID="{E9B992B2-8382-4A5E-B9A8-113B89D49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Hodoroaga</dc:creator>
  <cp:keywords/>
  <dc:description/>
  <cp:lastModifiedBy>Ionut Hodoroaga</cp:lastModifiedBy>
  <cp:revision>3</cp:revision>
  <cp:lastPrinted>2021-04-16T22:08:00Z</cp:lastPrinted>
  <dcterms:created xsi:type="dcterms:W3CDTF">2021-05-05T22:17:00Z</dcterms:created>
  <dcterms:modified xsi:type="dcterms:W3CDTF">2021-05-06T23:29:00Z</dcterms:modified>
</cp:coreProperties>
</file>