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Times New Roman" w:cs="Times New Roman" w:eastAsia="Times New Roman" w:hAnsi="Times New Roman"/>
          <w:b/>
          <w:bCs/>
          <w:sz w:val="32"/>
          <w:szCs w:val="32"/>
        </w:rPr>
        <w:t xml:space="preserve">Emergent Room Resonance Analysis from</w:t>
      </w:r>
    </w:p>
    <w:p>
      <w:pPr>
        <w:spacing w:after="200"/>
        <w:jc w:val="center"/>
      </w:pPr>
      <w:r>
        <w:rPr>
          <w:rFonts w:ascii="Times New Roman" w:cs="Times New Roman" w:eastAsia="Times New Roman" w:hAnsi="Times New Roman"/>
          <w:b/>
          <w:bCs/>
          <w:sz w:val="32"/>
          <w:szCs w:val="32"/>
        </w:rPr>
        <w:t xml:space="preserve">Acoustic Feedback Detection: A Six-Algorithm</w:t>
      </w:r>
    </w:p>
    <w:p>
      <w:pPr>
        <w:spacing w:after="300"/>
        <w:jc w:val="center"/>
      </w:pPr>
      <w:r>
        <w:rPr>
          <w:rFonts w:ascii="Times New Roman" w:cs="Times New Roman" w:eastAsia="Times New Roman" w:hAnsi="Times New Roman"/>
          <w:b/>
          <w:bCs/>
          <w:sz w:val="32"/>
          <w:szCs w:val="32"/>
        </w:rPr>
        <w:t xml:space="preserve">Fusion Approach Using Ambient Excitation</w:t>
      </w:r>
    </w:p>
    <w:p>
      <w:pPr>
        <w:spacing w:after="80"/>
        <w:jc w:val="center"/>
      </w:pPr>
      <w:r>
        <w:rPr>
          <w:rFonts w:ascii="Times New Roman" w:cs="Times New Roman" w:eastAsia="Times New Roman" w:hAnsi="Times New Roman"/>
          <w:b/>
          <w:bCs/>
          <w:sz w:val="24"/>
          <w:szCs w:val="24"/>
        </w:rPr>
        <w:t xml:space="preserve">Don Wells</w:t>
      </w:r>
    </w:p>
    <w:p>
      <w:pPr>
        <w:spacing w:after="400"/>
        <w:jc w:val="center"/>
      </w:pPr>
      <w:r>
        <w:rPr>
          <w:rFonts w:ascii="Times New Roman" w:cs="Times New Roman" w:eastAsia="Times New Roman" w:hAnsi="Times New Roman"/>
          <w:i/>
          <w:iCs/>
          <w:sz w:val="24"/>
          <w:szCs w:val="24"/>
        </w:rPr>
        <w:t xml:space="preserve">Kill The Ring Project</w:t>
      </w:r>
    </w:p>
    <w:p>
      <w:pPr>
        <w:spacing w:after="120" w:before="240"/>
      </w:pPr>
      <w:r>
        <w:rPr>
          <w:rFonts w:ascii="Times New Roman" w:cs="Times New Roman" w:eastAsia="Times New Roman" w:hAnsi="Times New Roman"/>
          <w:b/>
          <w:bCs/>
          <w:sz w:val="24"/>
          <w:szCs w:val="24"/>
        </w:rPr>
        <w:t xml:space="preserve">ABSTRACT</w:t>
      </w:r>
    </w:p>
    <w:p>
      <w:pPr>
        <w:spacing w:after="120" w:line="276"/>
        <w:jc w:val="both"/>
      </w:pPr>
      <w:r>
        <w:rPr>
          <w:rFonts w:ascii="Times New Roman" w:cs="Times New Roman" w:eastAsia="Times New Roman" w:hAnsi="Times New Roman"/>
          <w:sz w:val="20"/>
          <w:szCs w:val="20"/>
        </w:rPr>
        <w:t xml:space="preserve">We present the observation that a real-time acoustic feedback detection system, when operated at elevated sensitivity without an active electroacoustic feedback loop, produces equalization correction recommendations that correspond to room resonance modes. The system employs six fused detection algorithms — Magnitude Slope Deviation (MSD) [1], phase coherence analysis [15], spectral flatness [3], comb filter pattern detection, inter-harmonic ratio (IHR), and peak-to-median ratio (PTMR) — augmented by a neural network meta-model. We demonstrate that the spectral signatures of room resonances (persistent, narrow, high-Q peaks with stable magnitude and phase) are physically indistinguishable from acoustic feedback to these algorithms. This emergent behavior effectively transforms a feedback detector into a real-time room analyzer requiring no test signal, no calibration microphone, and no prior room configuration. We present the mathematical basis for this spectral signature equivalence, compare the approach with established room analysis systems, and discuss implications for live sound engineering workflows.</w:t>
      </w:r>
    </w:p>
    <w:p>
      <w:pPr>
        <w:spacing w:after="120" w:before="240"/>
      </w:pPr>
      <w:r>
        <w:rPr>
          <w:rFonts w:ascii="Times New Roman" w:cs="Times New Roman" w:eastAsia="Times New Roman" w:hAnsi="Times New Roman"/>
          <w:b/>
          <w:bCs/>
          <w:sz w:val="24"/>
          <w:szCs w:val="24"/>
        </w:rPr>
        <w:t xml:space="preserve">1. INTRODUCTION</w:t>
      </w:r>
    </w:p>
    <w:p>
      <w:pPr>
        <w:spacing w:after="120" w:line="276"/>
        <w:jc w:val="both"/>
      </w:pPr>
      <w:r>
        <w:rPr>
          <w:rFonts w:ascii="Times New Roman" w:cs="Times New Roman" w:eastAsia="Times New Roman" w:hAnsi="Times New Roman"/>
          <w:sz w:val="20"/>
          <w:szCs w:val="20"/>
        </w:rPr>
        <w:t xml:space="preserve">The identification and correction of room resonances is a fundamental challenge in live sound reinforcement and studio acoustics. Room modes — standing waves established between parallel boundaries — create frequency-dependent amplitude variations that color the acoustic response of any enclosed space [2, 12]. Left uncorrected, these resonances produce uneven frequency response, reduced speech intelligibility, and compromised musical fidelity.</w:t>
      </w:r>
    </w:p>
    <w:p>
      <w:pPr>
        <w:spacing w:after="120" w:line="276"/>
        <w:jc w:val="both"/>
      </w:pPr>
      <w:r>
        <w:rPr>
          <w:rFonts w:ascii="Times New Roman" w:cs="Times New Roman" w:eastAsia="Times New Roman" w:hAnsi="Times New Roman"/>
          <w:sz w:val="20"/>
          <w:szCs w:val="20"/>
        </w:rPr>
        <w:t xml:space="preserve">Traditional room analysis methods require dedicated measurement infrastructure: swept sine or pink noise test signals, calibrated omnidirectional measurement microphones (such as the Earthworks M30 or Behringer ECM8000), and specialized analysis software such as Rational Acoustics Smaart [8], Room EQ Wizard (REW) [9], or Dirac Live [10]. These measurements are typically performed in an unoccupied venue, as audience presence significantly alters the room’s acoustic response. The measurement procedure, from equipment setup through data acquisition and analysis, typically requires 15–30 minutes for a single microphone position, with multiple positions recommended for comprehensive coverage [13].</w:t>
      </w:r>
    </w:p>
    <w:p>
      <w:pPr>
        <w:spacing w:after="120" w:line="276"/>
        <w:jc w:val="both"/>
      </w:pPr>
      <w:r>
        <w:rPr>
          <w:rFonts w:ascii="Times New Roman" w:cs="Times New Roman" w:eastAsia="Times New Roman" w:hAnsi="Times New Roman"/>
          <w:sz w:val="20"/>
          <w:szCs w:val="20"/>
        </w:rPr>
        <w:t xml:space="preserve">This paper presents the discovery of an emergent capability within a real-time acoustic feedback detection system called Kill The Ring (KTR) [20]. When the system’s detection sensitivity is elevated beyond its intended operating range — specifically, when the prominence threshold is reduced below 8 dB — the six-algorithm fusion pipeline begins detecting and issuing equalization recommendations for persistent spectral peaks that are not acoustic feedback, but rather </w:t>
      </w:r>
      <w:r>
        <w:rPr>
          <w:rFonts w:ascii="Times New Roman" w:cs="Times New Roman" w:eastAsia="Times New Roman" w:hAnsi="Times New Roman"/>
          <w:i/>
          <w:iCs/>
          <w:sz w:val="20"/>
          <w:szCs w:val="20"/>
        </w:rPr>
        <w:t xml:space="preserve">room resonance modes</w:t>
      </w:r>
      <w:r>
        <w:rPr>
          <w:rFonts w:ascii="Times New Roman" w:cs="Times New Roman" w:eastAsia="Times New Roman" w:hAnsi="Times New Roman"/>
          <w:sz w:val="20"/>
          <w:szCs w:val="20"/>
        </w:rPr>
        <w:t xml:space="preserve">. This behavior was observed during live operation and subsequently traced through the complete algorithm chain to establish its physical and mathematical basis.</w:t>
      </w:r>
    </w:p>
    <w:p>
      <w:pPr>
        <w:spacing w:after="120" w:line="276"/>
        <w:jc w:val="both"/>
      </w:pPr>
      <w:r>
        <w:rPr>
          <w:rFonts w:ascii="Times New Roman" w:cs="Times New Roman" w:eastAsia="Times New Roman" w:hAnsi="Times New Roman"/>
          <w:sz w:val="20"/>
          <w:szCs w:val="20"/>
        </w:rPr>
        <w:t xml:space="preserve">The central contribution of this paper is the demonstration that room resonances and acoustic feedback occupy the same region of the six-dimensional algorithm score space, making them mathematically indistinguishable to any detection system that relies on spectral stability metrics. We formalize this observation as the </w:t>
      </w:r>
      <w:r>
        <w:rPr>
          <w:rFonts w:ascii="Times New Roman" w:cs="Times New Roman" w:eastAsia="Times New Roman" w:hAnsi="Times New Roman"/>
          <w:i/>
          <w:iCs/>
          <w:sz w:val="20"/>
          <w:szCs w:val="20"/>
        </w:rPr>
        <w:t xml:space="preserve">Spectral Signature Equivalence Theorem</w:t>
      </w:r>
      <w:r>
        <w:rPr>
          <w:rFonts w:ascii="Times New Roman" w:cs="Times New Roman" w:eastAsia="Times New Roman" w:hAnsi="Times New Roman"/>
          <w:sz w:val="20"/>
          <w:szCs w:val="20"/>
        </w:rPr>
        <w:t xml:space="preserve"> and discuss its implications for a new class of room analysis tools that require no test signal, no calibration microphone, and no prior room configuration — operating instead on ambient sound as the excitation source.</w:t>
      </w:r>
    </w:p>
    <w:p>
      <w:pPr>
        <w:spacing w:after="120" w:before="240"/>
      </w:pPr>
      <w:r>
        <w:rPr>
          <w:rFonts w:ascii="Times New Roman" w:cs="Times New Roman" w:eastAsia="Times New Roman" w:hAnsi="Times New Roman"/>
          <w:b/>
          <w:bCs/>
          <w:sz w:val="24"/>
          <w:szCs w:val="24"/>
        </w:rPr>
        <w:t xml:space="preserve">2. BACKGROUND AND PRIOR ART</w:t>
      </w:r>
    </w:p>
    <w:p>
      <w:pPr>
        <w:spacing w:after="100" w:before="200"/>
      </w:pPr>
      <w:r>
        <w:rPr>
          <w:rFonts w:ascii="Times New Roman" w:cs="Times New Roman" w:eastAsia="Times New Roman" w:hAnsi="Times New Roman"/>
          <w:b/>
          <w:bCs/>
          <w:sz w:val="22"/>
          <w:szCs w:val="22"/>
        </w:rPr>
        <w:t xml:space="preserve">2.1 Room Acoustic Analysis</w:t>
      </w:r>
    </w:p>
    <w:p>
      <w:pPr>
        <w:spacing w:after="120" w:line="276"/>
        <w:jc w:val="both"/>
      </w:pPr>
      <w:r>
        <w:rPr>
          <w:rFonts w:ascii="Times New Roman" w:cs="Times New Roman" w:eastAsia="Times New Roman" w:hAnsi="Times New Roman"/>
          <w:sz w:val="20"/>
          <w:szCs w:val="20"/>
        </w:rPr>
        <w:t xml:space="preserve">The eigenfrequencies of a rectangular room are given by the Rayleigh equation [5]:</w:t>
      </w:r>
    </w:p>
    <w:p>
      <w:pPr>
        <w:spacing w:after="120" w:before="120"/>
        <w:jc w:val="center"/>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x</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z</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 2) ·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rPr>
        <w:t xml:space="preserve">)² +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y</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)² +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z</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)²]</w:t>
      </w:r>
      <w:r>
        <w:rPr>
          <w:rFonts w:ascii="Times New Roman" w:cs="Times New Roman" w:eastAsia="Times New Roman" w:hAnsi="Times New Roman"/>
          <w:sz w:val="20"/>
          <w:szCs w:val="20"/>
        </w:rPr>
        <w:t xml:space="preserve">    (1)</w:t>
      </w:r>
    </w:p>
    <w:p>
      <w:pPr>
        <w:spacing w:after="120" w:line="276"/>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is the speed of sound (343 m/s at 20°C),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are room dimensions, and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x</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z</w:t>
      </w:r>
      <w:r>
        <w:rPr>
          <w:rFonts w:ascii="Times New Roman" w:cs="Times New Roman" w:eastAsia="Times New Roman" w:hAnsi="Times New Roman"/>
          <w:sz w:val="20"/>
          <w:szCs w:val="20"/>
        </w:rPr>
        <w:t xml:space="preserve"> are non-negative integer mode orders. The transition frequency between the modal region (where individual modes dominate) and the statistical region (where modes overlap sufficiently for diffuse-field assumptions) is given by the Schroeder frequency [4]:</w:t>
      </w:r>
    </w:p>
    <w:p>
      <w:pPr>
        <w:spacing w:after="120" w:before="120"/>
        <w:jc w:val="center"/>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 = 2000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60</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(2)</w:t>
      </w:r>
    </w:p>
    <w:p>
      <w:pPr>
        <w:spacing w:after="120" w:line="276"/>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60</w:t>
      </w:r>
      <w:r>
        <w:rPr>
          <w:rFonts w:ascii="Times New Roman" w:cs="Times New Roman" w:eastAsia="Times New Roman" w:hAnsi="Times New Roman"/>
          <w:sz w:val="20"/>
          <w:szCs w:val="20"/>
        </w:rPr>
        <w:t xml:space="preserve"> is the reverberation time (seconds) and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is room volume (m³). Below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 individual room modes are perceptually distinct and require targeted equalization. The modal density at frequency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is given by Hopkins [2] as:</w:t>
      </w:r>
    </w:p>
    <w:p>
      <w:pPr>
        <w:spacing w:after="120" w:before="120"/>
        <w:jc w:val="center"/>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 4π</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vertAlign w:val="superscript"/>
        </w:rPr>
        <w:t xml:space="preserve">3</w:t>
      </w:r>
      <w:r>
        <w:rPr>
          <w:rFonts w:ascii="Times New Roman" w:cs="Times New Roman" w:eastAsia="Times New Roman" w:hAnsi="Times New Roman"/>
          <w:sz w:val="20"/>
          <w:szCs w:val="20"/>
        </w:rPr>
        <w:t xml:space="preserve"> + π</w:t>
      </w:r>
      <w:r>
        <w:rPr>
          <w:rFonts w:ascii="Times New Roman" w:cs="Times New Roman" w:eastAsia="Times New Roman" w:hAnsi="Times New Roman"/>
          <w:i/>
          <w:iCs/>
          <w:sz w:val="20"/>
          <w:szCs w:val="20"/>
        </w:rPr>
        <w:t xml:space="preserve">f</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 (2</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vertAlign w:val="subscript"/>
        </w:rPr>
        <w:t xml:space="preserve">total</w:t>
      </w:r>
      <w:r>
        <w:rPr>
          <w:rFonts w:ascii="Times New Roman" w:cs="Times New Roman" w:eastAsia="Times New Roman" w:hAnsi="Times New Roman"/>
          <w:sz w:val="20"/>
          <w:szCs w:val="20"/>
        </w:rPr>
        <w:t xml:space="preserve"> / (8</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(3)</w:t>
      </w:r>
    </w:p>
    <w:p>
      <w:pPr>
        <w:spacing w:after="120" w:line="276"/>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is total surface area and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vertAlign w:val="subscript"/>
        </w:rPr>
        <w:t xml:space="preserve">total</w:t>
      </w:r>
      <w:r>
        <w:rPr>
          <w:rFonts w:ascii="Times New Roman" w:cs="Times New Roman" w:eastAsia="Times New Roman" w:hAnsi="Times New Roman"/>
          <w:sz w:val="20"/>
          <w:szCs w:val="20"/>
        </w:rPr>
        <w:t xml:space="preserve"> is total edge length. Commercial room analysis tools — Smaart [8], REW [9], Dirac Live [10] — measure the room transfer function via impulse response or transfer function measurement, then derive correction filters. All require dedicated test signals and calibrated measurement microphones.</w:t>
      </w:r>
    </w:p>
    <w:p>
      <w:pPr>
        <w:spacing w:after="100" w:before="200"/>
      </w:pPr>
      <w:r>
        <w:rPr>
          <w:rFonts w:ascii="Times New Roman" w:cs="Times New Roman" w:eastAsia="Times New Roman" w:hAnsi="Times New Roman"/>
          <w:b/>
          <w:bCs/>
          <w:sz w:val="22"/>
          <w:szCs w:val="22"/>
        </w:rPr>
        <w:t xml:space="preserve">2.2 Acoustic Feedback Detection</w:t>
      </w:r>
    </w:p>
    <w:p>
      <w:pPr>
        <w:spacing w:after="120" w:line="276"/>
        <w:jc w:val="both"/>
      </w:pPr>
      <w:r>
        <w:rPr>
          <w:rFonts w:ascii="Times New Roman" w:cs="Times New Roman" w:eastAsia="Times New Roman" w:hAnsi="Times New Roman"/>
          <w:sz w:val="20"/>
          <w:szCs w:val="20"/>
        </w:rPr>
        <w:t xml:space="preserve">Acoustic feedback (the Larsen effect) occurs when sound from a loudspeaker is captured by a microphone, amplified, and re-emitted, creating a closed electroacoustic loop [6, 18]. Van Waterschoot and Moonen [7] provide a comprehensive survey of fifty years of feedback control methods, categorizing approaches into phase modulation, adaptive notch filtering, and spectral analysis methods.</w:t>
      </w:r>
    </w:p>
    <w:p>
      <w:pPr>
        <w:spacing w:after="120" w:line="276"/>
        <w:jc w:val="both"/>
      </w:pPr>
      <w:r>
        <w:rPr>
          <w:rFonts w:ascii="Times New Roman" w:cs="Times New Roman" w:eastAsia="Times New Roman" w:hAnsi="Times New Roman"/>
          <w:sz w:val="20"/>
          <w:szCs w:val="20"/>
        </w:rPr>
        <w:t xml:space="preserve">Rohdenburg et al. [1] introduced the Magnitude Slope Deviation (MSD) metric at DAFx-16, exploiting the observation that feedback produces spectral peaks with near-zero magnitude variation over time, whereas music and speech exhibit substantial frame-to-frame magnitude changes. Phase coherence analysis, drawing on circular statistics [15], identifies pure tones by measuring the consistency of inter-frame phase progression. Multi-algorithm fusion — combining multiple independent detectors via weighted voting — has emerged as the state of the art for robust detection [7].</w:t>
      </w:r>
    </w:p>
    <w:p>
      <w:pPr>
        <w:spacing w:after="100" w:before="200"/>
      </w:pPr>
      <w:r>
        <w:rPr>
          <w:rFonts w:ascii="Times New Roman" w:cs="Times New Roman" w:eastAsia="Times New Roman" w:hAnsi="Times New Roman"/>
          <w:b/>
          <w:bCs/>
          <w:sz w:val="22"/>
          <w:szCs w:val="22"/>
        </w:rPr>
        <w:t xml:space="preserve">2.3 The Physical Equivalence</w:t>
      </w:r>
    </w:p>
    <w:p>
      <w:pPr>
        <w:spacing w:after="120" w:line="276"/>
        <w:jc w:val="both"/>
      </w:pPr>
      <w:r>
        <w:rPr>
          <w:rFonts w:ascii="Times New Roman" w:cs="Times New Roman" w:eastAsia="Times New Roman" w:hAnsi="Times New Roman"/>
          <w:sz w:val="20"/>
          <w:szCs w:val="20"/>
        </w:rPr>
        <w:t xml:space="preserve">Both room resonances and acoustic feedback manifest as sustained narrowband spectral peaks. Both exhibit low magnitude variation (low MSD), high phase coherence, high Q factor, and high peak-to-median ratio. The critical difference is the sustaining mechanism: feedback requires an electroacoustic loop (microphone → amplifier → loudspeaker → acoustic path → microphone), while room resonances are sustained by reflections between room boundaries. </w:t>
      </w:r>
      <w:r>
        <w:rPr>
          <w:rFonts w:ascii="Times New Roman" w:cs="Times New Roman" w:eastAsia="Times New Roman" w:hAnsi="Times New Roman"/>
          <w:b/>
          <w:bCs/>
          <w:sz w:val="20"/>
          <w:szCs w:val="20"/>
        </w:rPr>
        <w:t xml:space="preserve">From the perspective of spectral analysis, these sustaining mechanisms are invisible</w:t>
      </w:r>
      <w:r>
        <w:rPr>
          <w:rFonts w:ascii="Times New Roman" w:cs="Times New Roman" w:eastAsia="Times New Roman" w:hAnsi="Times New Roman"/>
          <w:sz w:val="20"/>
          <w:szCs w:val="20"/>
        </w:rPr>
        <w:t xml:space="preserve"> — only their spectral consequences are observable, and those consequences are physically identical.</w:t>
      </w:r>
    </w:p>
    <w:p>
      <w:r>
        <w:br w:type="page"/>
      </w:r>
    </w:p>
    <w:p>
      <w:pPr>
        <w:spacing w:after="120" w:before="240"/>
      </w:pPr>
      <w:r>
        <w:rPr>
          <w:rFonts w:ascii="Times New Roman" w:cs="Times New Roman" w:eastAsia="Times New Roman" w:hAnsi="Times New Roman"/>
          <w:b/>
          <w:bCs/>
          <w:sz w:val="24"/>
          <w:szCs w:val="24"/>
        </w:rPr>
        <w:t xml:space="preserve">3. SYSTEM ARCHITECTURE</w:t>
      </w:r>
    </w:p>
    <w:p>
      <w:pPr>
        <w:spacing w:after="100" w:before="200"/>
      </w:pPr>
      <w:r>
        <w:rPr>
          <w:rFonts w:ascii="Times New Roman" w:cs="Times New Roman" w:eastAsia="Times New Roman" w:hAnsi="Times New Roman"/>
          <w:b/>
          <w:bCs/>
          <w:sz w:val="22"/>
          <w:szCs w:val="22"/>
        </w:rPr>
        <w:t xml:space="preserve">3.1 Detection Pipeline Overview</w:t>
      </w:r>
    </w:p>
    <w:p>
      <w:pPr>
        <w:spacing w:after="120" w:line="276"/>
        <w:jc w:val="both"/>
      </w:pPr>
      <w:r>
        <w:rPr>
          <w:rFonts w:ascii="Times New Roman" w:cs="Times New Roman" w:eastAsia="Times New Roman" w:hAnsi="Times New Roman"/>
          <w:sz w:val="20"/>
          <w:szCs w:val="20"/>
        </w:rPr>
        <w:t xml:space="preserve">Kill The Ring (KTR) [20] is a browser-based real-time acoustic feedback detection system implemented in TypeScript. The detection pipeline operates on a three-layer architecture: a main thread performing 8192-point FFT analysis at 50 fps (5.86 Hz frequency resolution at 48 kHz sample rate), a Web Worker performing classification and advisory generation, and a React-based user interface rendering at 30 fps. Audio data is captured via the Web Audio API’s AnalyserNode and transferred to the worker via zero-copy transferable Float32Array buffers.</w:t>
      </w:r>
    </w:p>
    <w:p>
      <w:pPr>
        <w:spacing w:after="100" w:before="200"/>
      </w:pPr>
      <w:r>
        <w:rPr>
          <w:rFonts w:ascii="Times New Roman" w:cs="Times New Roman" w:eastAsia="Times New Roman" w:hAnsi="Times New Roman"/>
          <w:b/>
          <w:bCs/>
          <w:sz w:val="22"/>
          <w:szCs w:val="22"/>
        </w:rPr>
        <w:t xml:space="preserve">3.2 Peak Detection (Main Thread)</w:t>
      </w:r>
    </w:p>
    <w:p>
      <w:pPr>
        <w:spacing w:after="120" w:line="276"/>
        <w:jc w:val="both"/>
      </w:pPr>
      <w:r>
        <w:rPr>
          <w:rFonts w:ascii="Times New Roman" w:cs="Times New Roman" w:eastAsia="Times New Roman" w:hAnsi="Times New Roman"/>
          <w:sz w:val="20"/>
          <w:szCs w:val="20"/>
        </w:rPr>
        <w:t xml:space="preserve">The main thread’s FeedbackDetector performs the following operations on each FFT frame:</w:t>
      </w:r>
    </w:p>
    <w:p>
      <w:pPr>
        <w:spacing w:after="120" w:line="276"/>
        <w:ind w:left="360"/>
        <w:jc w:val="both"/>
      </w:pPr>
      <w:r>
        <w:rPr>
          <w:rFonts w:ascii="Times New Roman" w:cs="Times New Roman" w:eastAsia="Times New Roman" w:hAnsi="Times New Roman"/>
          <w:b/>
          <w:bCs/>
          <w:sz w:val="20"/>
          <w:szCs w:val="20"/>
        </w:rPr>
        <w:t xml:space="preserve">A-weighting compensation</w:t>
      </w:r>
      <w:r>
        <w:rPr>
          <w:rFonts w:ascii="Times New Roman" w:cs="Times New Roman" w:eastAsia="Times New Roman" w:hAnsi="Times New Roman"/>
          <w:sz w:val="20"/>
          <w:szCs w:val="20"/>
        </w:rPr>
        <w:t xml:space="preserve"> and optional microphone calibration curve application (ECM8000 profile for smartphone MEMS microphones);</w:t>
      </w:r>
    </w:p>
    <w:p>
      <w:pPr>
        <w:spacing w:after="120" w:line="276"/>
        <w:ind w:left="360"/>
        <w:jc w:val="both"/>
      </w:pPr>
      <w:r>
        <w:rPr>
          <w:rFonts w:ascii="Times New Roman" w:cs="Times New Roman" w:eastAsia="Times New Roman" w:hAnsi="Times New Roman"/>
          <w:b/>
          <w:bCs/>
          <w:sz w:val="20"/>
          <w:szCs w:val="20"/>
        </w:rPr>
        <w:t xml:space="preserve">Noise floor tracking</w:t>
      </w:r>
      <w:r>
        <w:rPr>
          <w:rFonts w:ascii="Times New Roman" w:cs="Times New Roman" w:eastAsia="Times New Roman" w:hAnsi="Times New Roman"/>
          <w:sz w:val="20"/>
          <w:szCs w:val="20"/>
        </w:rPr>
        <w:t xml:space="preserve"> via Exponentially Weighted Moving Average (EWMA) with asymmetric attack/release (decay factor α = 0.98):</w:t>
      </w:r>
    </w:p>
    <w:p>
      <w:pPr>
        <w:spacing w:after="120" w:before="120"/>
        <w:jc w:val="center"/>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floor</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α ·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floor</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 + (1 − α) ·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(4)</w:t>
      </w:r>
    </w:p>
    <w:p>
      <w:pPr>
        <w:spacing w:after="120" w:line="276"/>
        <w:ind w:left="360"/>
        <w:jc w:val="both"/>
      </w:pPr>
      <w:r>
        <w:rPr>
          <w:rFonts w:ascii="Times New Roman" w:cs="Times New Roman" w:eastAsia="Times New Roman" w:hAnsi="Times New Roman"/>
          <w:b/>
          <w:bCs/>
          <w:sz w:val="20"/>
          <w:szCs w:val="20"/>
        </w:rPr>
        <w:t xml:space="preserve">Prefix-sum prominence calculation</w:t>
      </w:r>
      <w:r>
        <w:rPr>
          <w:rFonts w:ascii="Times New Roman" w:cs="Times New Roman" w:eastAsia="Times New Roman" w:hAnsi="Times New Roman"/>
          <w:sz w:val="20"/>
          <w:szCs w:val="20"/>
        </w:rPr>
        <w:t xml:space="preserve">: a Float64Array prefix sum is precomputed once per frame, enabling O(1) neighborhood averaging for any bin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with neighborhood width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w:t>
      </w:r>
    </w:p>
    <w:p>
      <w:pPr>
        <w:spacing w:after="120" w:before="120"/>
        <w:jc w:val="center"/>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prominence(</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(prefix[</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 − prefix[</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 / (2</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(5)</w:t>
      </w:r>
    </w:p>
    <w:p>
      <w:pPr>
        <w:spacing w:after="120" w:line="276"/>
        <w:ind w:left="360"/>
        <w:jc w:val="both"/>
      </w:pPr>
      <w:r>
        <w:rPr>
          <w:rFonts w:ascii="Times New Roman" w:cs="Times New Roman" w:eastAsia="Times New Roman" w:hAnsi="Times New Roman"/>
          <w:b/>
          <w:bCs/>
          <w:sz w:val="20"/>
          <w:szCs w:val="20"/>
        </w:rPr>
        <w:t xml:space="preserve">Persistence scoring</w:t>
      </w:r>
      <w:r>
        <w:rPr>
          <w:rFonts w:ascii="Times New Roman" w:cs="Times New Roman" w:eastAsia="Times New Roman" w:hAnsi="Times New Roman"/>
          <w:sz w:val="20"/>
          <w:szCs w:val="20"/>
        </w:rPr>
        <w:t xml:space="preserve">: each spectral bin maintains a frame counter tracking consecutive frames above the prominence threshold. Thresholds are content-adaptive: 7 frames (140 ms) for speech, 13 frames (260 ms) for music, and 50 frames (1000 ms) for compressed content.</w:t>
      </w:r>
    </w:p>
    <w:p>
      <w:pPr>
        <w:spacing w:after="100" w:before="200"/>
      </w:pPr>
      <w:r>
        <w:rPr>
          <w:rFonts w:ascii="Times New Roman" w:cs="Times New Roman" w:eastAsia="Times New Roman" w:hAnsi="Times New Roman"/>
          <w:b/>
          <w:bCs/>
          <w:sz w:val="22"/>
          <w:szCs w:val="22"/>
        </w:rPr>
        <w:t xml:space="preserve">3.3 Six Detection Algorithms</w:t>
      </w:r>
    </w:p>
    <w:p>
      <w:pPr>
        <w:spacing w:after="80" w:before="160"/>
      </w:pPr>
      <w:r>
        <w:rPr>
          <w:rFonts w:ascii="Times New Roman" w:cs="Times New Roman" w:eastAsia="Times New Roman" w:hAnsi="Times New Roman"/>
          <w:b/>
          <w:bCs/>
          <w:i/>
          <w:iCs/>
          <w:sz w:val="20"/>
          <w:szCs w:val="20"/>
        </w:rPr>
        <w:t xml:space="preserve">3.3.1 Magnitude Slope Deviation (MSD)</w:t>
      </w:r>
    </w:p>
    <w:p>
      <w:pPr>
        <w:spacing w:after="120" w:line="276"/>
        <w:jc w:val="both"/>
      </w:pPr>
      <w:r>
        <w:rPr>
          <w:rFonts w:ascii="Times New Roman" w:cs="Times New Roman" w:eastAsia="Times New Roman" w:hAnsi="Times New Roman"/>
          <w:sz w:val="20"/>
          <w:szCs w:val="20"/>
        </w:rPr>
        <w:t xml:space="preserve">The MSD metric [1] quantifies the temporal stability of magnitude at each frequency bin by computing the second derivative of the magnitude time series:</w:t>
      </w:r>
    </w:p>
    <w:p>
      <w:pPr>
        <w:spacing w:after="120" w:before="120"/>
        <w:jc w:val="center"/>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MSD(</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Σ</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G</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)|²</w:t>
      </w:r>
      <w:r>
        <w:rPr>
          <w:rFonts w:ascii="Times New Roman" w:cs="Times New Roman" w:eastAsia="Times New Roman" w:hAnsi="Times New Roman"/>
          <w:sz w:val="20"/>
          <w:szCs w:val="20"/>
        </w:rPr>
        <w:t xml:space="preserve">    (6)</w:t>
      </w:r>
    </w:p>
    <w:p>
      <w:pPr>
        <w:spacing w:after="120" w:line="276"/>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G</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− 2·</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−1) +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−2) is the three-point second-derivative stencil. Feedback produces MSD ≈ 0 (constant magnitude); music and speech produce MSD &gt;&gt; 0. The implementation uses a sparse pool of 256 slots × 64 frames (64 KB), with LRU eviction. The threshold is 0.1 dB²/frame².</w:t>
      </w:r>
    </w:p>
    <w:p>
      <w:pPr>
        <w:spacing w:after="120" w:line="276"/>
        <w:jc w:val="both"/>
      </w:pPr>
      <w:r>
        <w:rPr>
          <w:rFonts w:ascii="Times New Roman" w:cs="Times New Roman" w:eastAsia="Times New Roman" w:hAnsi="Times New Roman"/>
          <w:b/>
          <w:bCs/>
          <w:sz w:val="20"/>
          <w:szCs w:val="20"/>
        </w:rPr>
        <w:t xml:space="preserve">Room mode response: </w:t>
      </w:r>
      <w:r>
        <w:rPr>
          <w:rFonts w:ascii="Times New Roman" w:cs="Times New Roman" w:eastAsia="Times New Roman" w:hAnsi="Times New Roman"/>
          <w:sz w:val="20"/>
          <w:szCs w:val="20"/>
        </w:rPr>
        <w:t xml:space="preserve">Room resonances exhibit constant magnitude at their eigenfrequencies, producing MSD ≈ 0.1–0.3 — indistinguishable from feedback.</w:t>
      </w:r>
    </w:p>
    <w:p>
      <w:pPr>
        <w:spacing w:after="80" w:before="160"/>
      </w:pPr>
      <w:r>
        <w:rPr>
          <w:rFonts w:ascii="Times New Roman" w:cs="Times New Roman" w:eastAsia="Times New Roman" w:hAnsi="Times New Roman"/>
          <w:b/>
          <w:bCs/>
          <w:i/>
          <w:iCs/>
          <w:sz w:val="20"/>
          <w:szCs w:val="20"/>
        </w:rPr>
        <w:t xml:space="preserve">3.3.2 Phase Coherence</w:t>
      </w:r>
    </w:p>
    <w:p>
      <w:pPr>
        <w:spacing w:after="120" w:line="276"/>
        <w:jc w:val="both"/>
      </w:pPr>
      <w:r>
        <w:rPr>
          <w:rFonts w:ascii="Times New Roman" w:cs="Times New Roman" w:eastAsia="Times New Roman" w:hAnsi="Times New Roman"/>
          <w:sz w:val="20"/>
          <w:szCs w:val="20"/>
        </w:rPr>
        <w:t xml:space="preserve">Phase coherence measures the consistency of inter-frame phase progression using circular statistics [15]:</w:t>
      </w:r>
    </w:p>
    <w:p>
      <w:pPr>
        <w:spacing w:after="120" w:before="120"/>
        <w:jc w:val="center"/>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vertAlign w:val="subscript"/>
        </w:rPr>
        <w:t xml:space="preserve">φ</w:t>
      </w:r>
      <w:r>
        <w:rPr>
          <w:rFonts w:ascii="Times New Roman" w:cs="Times New Roman" w:eastAsia="Times New Roman" w:hAnsi="Times New Roman"/>
          <w:sz w:val="20"/>
          <w:szCs w:val="20"/>
        </w:rPr>
        <w:t xml:space="preserve"> = |(1/</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Σ</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e</w:t>
      </w:r>
      <w:r>
        <w:rPr>
          <w:rFonts w:ascii="Times New Roman" w:cs="Times New Roman" w:eastAsia="Times New Roman" w:hAnsi="Times New Roman"/>
          <w:sz w:val="20"/>
          <w:szCs w:val="20"/>
          <w:vertAlign w:val="superscript"/>
        </w:rPr>
        <w:t xml:space="preserve">jΔφᵢ</w:t>
      </w:r>
      <w:r>
        <w:rPr>
          <w:rFonts w:ascii="Times New Roman" w:cs="Times New Roman" w:eastAsia="Times New Roman" w:hAnsi="Times New Roman"/>
          <w:sz w:val="20"/>
          <w:szCs w:val="20"/>
        </w:rPr>
        <w:t xml:space="preserve">| = |(1/</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Σ</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[cos(Δφ</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 sin(Δφ</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(7)</w:t>
      </w:r>
    </w:p>
    <w:p>
      <w:pPr>
        <w:spacing w:after="120" w:line="276"/>
        <w:jc w:val="both"/>
      </w:pPr>
      <w:r>
        <w:rPr>
          <w:rFonts w:ascii="Times New Roman" w:cs="Times New Roman" w:eastAsia="Times New Roman" w:hAnsi="Times New Roman"/>
          <w:sz w:val="20"/>
          <w:szCs w:val="20"/>
        </w:rPr>
        <w:t xml:space="preserve">Pure tones produce coherence near 1.0; broadband noise near 0.0. Thresholds: HIGH = 0.85, MEDIUM = 0.65, LOW = 0.40 [20].</w:t>
      </w:r>
    </w:p>
    <w:p>
      <w:pPr>
        <w:spacing w:after="120" w:line="276"/>
        <w:jc w:val="both"/>
      </w:pPr>
      <w:r>
        <w:rPr>
          <w:rFonts w:ascii="Times New Roman" w:cs="Times New Roman" w:eastAsia="Times New Roman" w:hAnsi="Times New Roman"/>
          <w:b/>
          <w:bCs/>
          <w:sz w:val="20"/>
          <w:szCs w:val="20"/>
        </w:rPr>
        <w:t xml:space="preserve">Room mode response: </w:t>
      </w:r>
      <w:r>
        <w:rPr>
          <w:rFonts w:ascii="Times New Roman" w:cs="Times New Roman" w:eastAsia="Times New Roman" w:hAnsi="Times New Roman"/>
          <w:sz w:val="20"/>
          <w:szCs w:val="20"/>
        </w:rPr>
        <w:t xml:space="preserve">Room resonances are phase-stable from frame to frame, producing coherence ≈ 0.85–0.95 — identical to feedback.</w:t>
      </w:r>
    </w:p>
    <w:p>
      <w:pPr>
        <w:spacing w:after="80" w:before="160"/>
      </w:pPr>
      <w:r>
        <w:rPr>
          <w:rFonts w:ascii="Times New Roman" w:cs="Times New Roman" w:eastAsia="Times New Roman" w:hAnsi="Times New Roman"/>
          <w:b/>
          <w:bCs/>
          <w:i/>
          <w:iCs/>
          <w:sz w:val="20"/>
          <w:szCs w:val="20"/>
        </w:rPr>
        <w:t xml:space="preserve">3.3.3 Spectral Flatness</w:t>
      </w:r>
    </w:p>
    <w:p>
      <w:pPr>
        <w:spacing w:after="120" w:line="276"/>
        <w:jc w:val="both"/>
      </w:pPr>
      <w:r>
        <w:rPr>
          <w:rFonts w:ascii="Times New Roman" w:cs="Times New Roman" w:eastAsia="Times New Roman" w:hAnsi="Times New Roman"/>
          <w:sz w:val="20"/>
          <w:szCs w:val="20"/>
        </w:rPr>
        <w:t xml:space="preserve">Spectral flatness, derived from the Glasberg-Moore auditory filter model [3], measures the “tonalness” of a spectral region:</w:t>
      </w:r>
    </w:p>
    <w:p>
      <w:pPr>
        <w:spacing w:after="120" w:before="120"/>
        <w:jc w:val="center"/>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SF = (∏</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vertAlign w:val="superscript"/>
        </w:rPr>
        <w:t xml:space="preserve">1/N</w:t>
      </w:r>
      <w:r>
        <w:rPr>
          <w:rFonts w:ascii="Times New Roman" w:cs="Times New Roman" w:eastAsia="Times New Roman" w:hAnsi="Times New Roman"/>
          <w:sz w:val="20"/>
          <w:szCs w:val="20"/>
        </w:rPr>
        <w:t xml:space="preserve"> / (1/</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Σ</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(8)</w:t>
      </w:r>
    </w:p>
    <w:p>
      <w:pPr>
        <w:spacing w:after="120" w:line="276"/>
        <w:jc w:val="both"/>
      </w:pPr>
      <w:r>
        <w:rPr>
          <w:rFonts w:ascii="Times New Roman" w:cs="Times New Roman" w:eastAsia="Times New Roman" w:hAnsi="Times New Roman"/>
          <w:sz w:val="20"/>
          <w:szCs w:val="20"/>
        </w:rPr>
        <w:t xml:space="preserve">computed over ±5 bins around the peak. Pure tones yield SF &lt; 0.05; speech ≈ 0.15; broadband music ≈ 0.30. Supplemented by kurtosis (κ =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vertAlign w:val="subscript"/>
        </w:rPr>
        <w:t xml:space="preserve">4</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− 3) to distinguish peaked distributions.</w:t>
      </w:r>
    </w:p>
    <w:p>
      <w:pPr>
        <w:spacing w:after="120" w:line="276"/>
        <w:jc w:val="both"/>
      </w:pPr>
      <w:r>
        <w:rPr>
          <w:rFonts w:ascii="Times New Roman" w:cs="Times New Roman" w:eastAsia="Times New Roman" w:hAnsi="Times New Roman"/>
          <w:b/>
          <w:bCs/>
          <w:sz w:val="20"/>
          <w:szCs w:val="20"/>
        </w:rPr>
        <w:t xml:space="preserve">Room mode response: </w:t>
      </w:r>
      <w:r>
        <w:rPr>
          <w:rFonts w:ascii="Times New Roman" w:cs="Times New Roman" w:eastAsia="Times New Roman" w:hAnsi="Times New Roman"/>
          <w:sz w:val="20"/>
          <w:szCs w:val="20"/>
        </w:rPr>
        <w:t xml:space="preserve">Room resonances are narrow, isolated peaks with SF &lt; 0.05 — classified as pure tones, identical to feedback.</w:t>
      </w:r>
    </w:p>
    <w:p>
      <w:pPr>
        <w:spacing w:after="80" w:before="160"/>
      </w:pPr>
      <w:r>
        <w:rPr>
          <w:rFonts w:ascii="Times New Roman" w:cs="Times New Roman" w:eastAsia="Times New Roman" w:hAnsi="Times New Roman"/>
          <w:b/>
          <w:bCs/>
          <w:i/>
          <w:iCs/>
          <w:sz w:val="20"/>
          <w:szCs w:val="20"/>
        </w:rPr>
        <w:t xml:space="preserve">3.3.4 Inter-Harmonic Ratio (IHR) — Novel</w:t>
      </w:r>
    </w:p>
    <w:p>
      <w:pPr>
        <w:spacing w:after="120" w:line="276"/>
        <w:jc w:val="both"/>
      </w:pPr>
      <w:r>
        <w:rPr>
          <w:rFonts w:ascii="Times New Roman" w:cs="Times New Roman" w:eastAsia="Times New Roman" w:hAnsi="Times New Roman"/>
          <w:sz w:val="20"/>
          <w:szCs w:val="20"/>
        </w:rPr>
        <w:t xml:space="preserve">The IHR measures the ratio of spectral energy between harmonics to energy at harmonics, distinguishing sustained musical instruments (rich inter-harmonic content) from feedback (clean spectrum):</w:t>
      </w:r>
    </w:p>
    <w:p>
      <w:pPr>
        <w:spacing w:after="120" w:before="120"/>
        <w:jc w:val="center"/>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IHR =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vertAlign w:val="subscript"/>
        </w:rPr>
        <w:t xml:space="preserve">interharmonic</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vertAlign w:val="subscript"/>
        </w:rPr>
        <w:t xml:space="preserve">harmonic</w:t>
      </w:r>
      <w:r>
        <w:rPr>
          <w:rFonts w:ascii="Times New Roman" w:cs="Times New Roman" w:eastAsia="Times New Roman" w:hAnsi="Times New Roman"/>
          <w:sz w:val="20"/>
          <w:szCs w:val="20"/>
        </w:rPr>
        <w:t xml:space="preserve">    (9)</w:t>
      </w:r>
    </w:p>
    <w:p>
      <w:pPr>
        <w:spacing w:after="120" w:line="276"/>
        <w:jc w:val="both"/>
      </w:pPr>
      <w:r>
        <w:rPr>
          <w:rFonts w:ascii="Times New Roman" w:cs="Times New Roman" w:eastAsia="Times New Roman" w:hAnsi="Times New Roman"/>
          <w:sz w:val="20"/>
          <w:szCs w:val="20"/>
        </w:rPr>
        <w:t xml:space="preserve">Harmonic search extends to 8 overtones with ±2% frequency tolerance. Feedback: IHR &lt; 0.15; musical instruments with 3+ harmonics: IHR &gt; 0.35. When IHR &gt; 0.35 with harmonicsFound ≥ 3, a multiplicative gate reduces feedback probability by factor 0.65.</w:t>
      </w:r>
    </w:p>
    <w:p>
      <w:pPr>
        <w:spacing w:after="120" w:line="276"/>
        <w:jc w:val="both"/>
      </w:pPr>
      <w:r>
        <w:rPr>
          <w:rFonts w:ascii="Times New Roman" w:cs="Times New Roman" w:eastAsia="Times New Roman" w:hAnsi="Times New Roman"/>
          <w:b/>
          <w:bCs/>
          <w:sz w:val="20"/>
          <w:szCs w:val="20"/>
        </w:rPr>
        <w:t xml:space="preserve">Room mode response: </w:t>
      </w:r>
      <w:r>
        <w:rPr>
          <w:rFonts w:ascii="Times New Roman" w:cs="Times New Roman" w:eastAsia="Times New Roman" w:hAnsi="Times New Roman"/>
          <w:sz w:val="20"/>
          <w:szCs w:val="20"/>
        </w:rPr>
        <w:t xml:space="preserve">Room resonances have clean spectra with no inter-harmonic content — IHR ≈ 0, classified as feedback-like.</w:t>
      </w:r>
    </w:p>
    <w:p>
      <w:pPr>
        <w:spacing w:after="80" w:before="160"/>
      </w:pPr>
      <w:r>
        <w:rPr>
          <w:rFonts w:ascii="Times New Roman" w:cs="Times New Roman" w:eastAsia="Times New Roman" w:hAnsi="Times New Roman"/>
          <w:b/>
          <w:bCs/>
          <w:i/>
          <w:iCs/>
          <w:sz w:val="20"/>
          <w:szCs w:val="20"/>
        </w:rPr>
        <w:t xml:space="preserve">3.3.5 Peak-to-Median Ratio (PTMR) — Novel</w:t>
      </w:r>
    </w:p>
    <w:p>
      <w:pPr>
        <w:spacing w:after="120" w:line="276"/>
        <w:jc w:val="both"/>
      </w:pPr>
      <w:r>
        <w:rPr>
          <w:rFonts w:ascii="Times New Roman" w:cs="Times New Roman" w:eastAsia="Times New Roman" w:hAnsi="Times New Roman"/>
          <w:sz w:val="20"/>
          <w:szCs w:val="20"/>
        </w:rPr>
        <w:t xml:space="preserve">PTMR quantifies peak sharpness relative to the local spectral floor:</w:t>
      </w:r>
    </w:p>
    <w:p>
      <w:pPr>
        <w:spacing w:after="120" w:before="120"/>
        <w:jc w:val="center"/>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PTMR</w:t>
      </w:r>
      <w:r>
        <w:rPr>
          <w:rFonts w:ascii="Times New Roman" w:cs="Times New Roman" w:eastAsia="Times New Roman" w:hAnsi="Times New Roman"/>
          <w:sz w:val="20"/>
          <w:szCs w:val="20"/>
          <w:vertAlign w:val="subscript"/>
        </w:rPr>
        <w:t xml:space="preserve">dB</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[peak] − median(</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[peak ± 20 bins])</w:t>
      </w:r>
      <w:r>
        <w:rPr>
          <w:rFonts w:ascii="Times New Roman" w:cs="Times New Roman" w:eastAsia="Times New Roman" w:hAnsi="Times New Roman"/>
          <w:sz w:val="20"/>
          <w:szCs w:val="20"/>
        </w:rPr>
        <w:t xml:space="preserve">    (10)</w:t>
      </w:r>
    </w:p>
    <w:p>
      <w:pPr>
        <w:spacing w:after="120" w:line="276"/>
        <w:jc w:val="both"/>
      </w:pPr>
      <w:r>
        <w:rPr>
          <w:rFonts w:ascii="Times New Roman" w:cs="Times New Roman" w:eastAsia="Times New Roman" w:hAnsi="Times New Roman"/>
          <w:sz w:val="20"/>
          <w:szCs w:val="20"/>
        </w:rPr>
        <w:t xml:space="preserve">excluding ±2 bins around the peak. PTMR &gt; 15 dB indicates feedback-like sharpness. When PTMR feedbackScore &lt; 0.2 (broad peak), feedback probability is reduced by factor 0.80.</w:t>
      </w:r>
    </w:p>
    <w:p>
      <w:pPr>
        <w:spacing w:after="120" w:line="276"/>
        <w:jc w:val="both"/>
      </w:pPr>
      <w:r>
        <w:rPr>
          <w:rFonts w:ascii="Times New Roman" w:cs="Times New Roman" w:eastAsia="Times New Roman" w:hAnsi="Times New Roman"/>
          <w:b/>
          <w:bCs/>
          <w:sz w:val="20"/>
          <w:szCs w:val="20"/>
        </w:rPr>
        <w:t xml:space="preserve">Room mode response: </w:t>
      </w:r>
      <w:r>
        <w:rPr>
          <w:rFonts w:ascii="Times New Roman" w:cs="Times New Roman" w:eastAsia="Times New Roman" w:hAnsi="Times New Roman"/>
          <w:sz w:val="20"/>
          <w:szCs w:val="20"/>
        </w:rPr>
        <w:t xml:space="preserve">Room resonances are sharp, isolated peaks with high PTMR — classified as feedback-like.</w:t>
      </w:r>
    </w:p>
    <w:p>
      <w:pPr>
        <w:spacing w:after="80" w:before="160"/>
      </w:pPr>
      <w:r>
        <w:rPr>
          <w:rFonts w:ascii="Times New Roman" w:cs="Times New Roman" w:eastAsia="Times New Roman" w:hAnsi="Times New Roman"/>
          <w:b/>
          <w:bCs/>
          <w:i/>
          <w:iCs/>
          <w:sz w:val="20"/>
          <w:szCs w:val="20"/>
        </w:rPr>
        <w:t xml:space="preserve">3.3.6 Comb Filter Pattern</w:t>
      </w:r>
    </w:p>
    <w:p>
      <w:pPr>
        <w:spacing w:after="120" w:line="276"/>
        <w:jc w:val="both"/>
      </w:pPr>
      <w:r>
        <w:rPr>
          <w:rFonts w:ascii="Times New Roman" w:cs="Times New Roman" w:eastAsia="Times New Roman" w:hAnsi="Times New Roman"/>
          <w:sz w:val="20"/>
          <w:szCs w:val="20"/>
        </w:rPr>
        <w:t xml:space="preserve">Comb filter detection identifies evenly-spaced harmonic peaks characteristic of the acoustic loop path. The fundamental spacing relates to path length:</w:t>
      </w:r>
    </w:p>
    <w:p>
      <w:pPr>
        <w:spacing w:after="120" w:before="120"/>
        <w:jc w:val="center"/>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Δ</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(11)</w:t>
      </w:r>
    </w:p>
    <w:p>
      <w:pPr>
        <w:spacing w:after="120" w:line="276"/>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is the acoustic path length. Three or more confirmed overtones establish a comb pattern (±5% spacing tolerance). A CombStabilityTracker monitors spacing coefficient of variation (CV) across 16 frames; when CV &gt; 0.05 (indicating frequency sweep, e.g., flanger/phaser), comb confidence is reduced by factor 0.25.</w:t>
      </w:r>
    </w:p>
    <w:p>
      <w:pPr>
        <w:spacing w:after="120" w:line="276"/>
        <w:jc w:val="both"/>
      </w:pPr>
      <w:r>
        <w:rPr>
          <w:rFonts w:ascii="Times New Roman" w:cs="Times New Roman" w:eastAsia="Times New Roman" w:hAnsi="Times New Roman"/>
          <w:b/>
          <w:bCs/>
          <w:sz w:val="20"/>
          <w:szCs w:val="20"/>
        </w:rPr>
        <w:t xml:space="preserve">Room mode response: </w:t>
      </w:r>
      <w:r>
        <w:rPr>
          <w:rFonts w:ascii="Times New Roman" w:cs="Times New Roman" w:eastAsia="Times New Roman" w:hAnsi="Times New Roman"/>
          <w:sz w:val="20"/>
          <w:szCs w:val="20"/>
        </w:rPr>
        <w:t xml:space="preserve">Axial room modes at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2</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3</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match comb pattern criteria with static spacing (low CV) — classified as feedback-like.</w:t>
      </w:r>
    </w:p>
    <w:p>
      <w:r>
        <w:br w:type="page"/>
      </w:r>
    </w:p>
    <w:p>
      <w:pPr>
        <w:spacing w:after="100" w:before="200"/>
      </w:pPr>
      <w:r>
        <w:rPr>
          <w:rFonts w:ascii="Times New Roman" w:cs="Times New Roman" w:eastAsia="Times New Roman" w:hAnsi="Times New Roman"/>
          <w:b/>
          <w:bCs/>
          <w:sz w:val="22"/>
          <w:szCs w:val="22"/>
        </w:rPr>
        <w:t xml:space="preserve">3.4 Content-Adaptive Weighted Fusion</w:t>
      </w:r>
    </w:p>
    <w:p>
      <w:pPr>
        <w:spacing w:after="120" w:line="276"/>
        <w:jc w:val="both"/>
      </w:pPr>
      <w:r>
        <w:rPr>
          <w:rFonts w:ascii="Times New Roman" w:cs="Times New Roman" w:eastAsia="Times New Roman" w:hAnsi="Times New Roman"/>
          <w:sz w:val="20"/>
          <w:szCs w:val="20"/>
        </w:rPr>
        <w:t xml:space="preserve">The six algorithm scores are combined via content-type-adaptive weighted averaging:</w:t>
      </w:r>
    </w:p>
    <w:p>
      <w:pPr>
        <w:spacing w:after="120" w:before="120"/>
        <w:jc w:val="center"/>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(feedback) = Σ</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Σ</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(12)</w:t>
      </w:r>
    </w:p>
    <w:p>
      <w:pPr>
        <w:spacing w:after="120" w:line="276"/>
        <w:jc w:val="both"/>
      </w:pPr>
      <w:r>
        <w:rPr>
          <w:rFonts w:ascii="Times New Roman" w:cs="Times New Roman" w:eastAsia="Times New Roman" w:hAnsi="Times New Roman"/>
          <w:sz w:val="20"/>
          <w:szCs w:val="20"/>
        </w:rPr>
        <w:t xml:space="preserve">Table 1 shows the weight profiles for four content types, determined empirically through controlled testing with labeled feedback and non-feedback signals.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100"/>
        <w:gridCol w:w="1100"/>
        <w:gridCol w:w="1100"/>
        <w:gridCol w:w="1100"/>
        <w:gridCol w:w="1100"/>
      </w:tblGrid>
      <w:tr>
        <w:trPr>
          <w:tblHeader/>
        </w:trPr>
        <w:tc>
          <w:tcPr>
            <w:tcW w:type="dxa" w:w="1700"/>
            <w:tcBorders>
              <w:top w:val="single" w:color="999999" w:sz="1"/>
              <w:left w:val="single" w:color="999999" w:sz="1"/>
              <w:bottom w:val="single" w:color="999999" w:sz="1"/>
              <w:right w:val="single" w:color="999999" w:sz="1"/>
            </w:tcBorders>
            <w:shd w:fill="E8E8E8" w:val="clear"/>
            <w:vAlign w:val="center"/>
          </w:tcPr>
          <w:p>
            <w:pPr>
              <w:spacing w:after="40" w:before="40"/>
              <w:jc w:val="center"/>
            </w:pPr>
            <w:r>
              <w:rPr>
                <w:rFonts w:ascii="Times New Roman" w:cs="Times New Roman" w:eastAsia="Times New Roman" w:hAnsi="Times New Roman"/>
                <w:b/>
                <w:bCs/>
                <w:sz w:val="18"/>
                <w:szCs w:val="18"/>
              </w:rPr>
              <w:t xml:space="preserve">Algorithm</w:t>
            </w:r>
          </w:p>
        </w:tc>
        <w:tc>
          <w:tcPr>
            <w:tcW w:type="dxa" w:w="1100"/>
            <w:tcBorders>
              <w:top w:val="single" w:color="999999" w:sz="1"/>
              <w:left w:val="single" w:color="999999" w:sz="1"/>
              <w:bottom w:val="single" w:color="999999" w:sz="1"/>
              <w:right w:val="single" w:color="999999" w:sz="1"/>
            </w:tcBorders>
            <w:shd w:fill="E8E8E8" w:val="clear"/>
            <w:vAlign w:val="center"/>
          </w:tcPr>
          <w:p>
            <w:pPr>
              <w:spacing w:after="40" w:before="40"/>
              <w:jc w:val="center"/>
            </w:pPr>
            <w:r>
              <w:rPr>
                <w:rFonts w:ascii="Times New Roman" w:cs="Times New Roman" w:eastAsia="Times New Roman" w:hAnsi="Times New Roman"/>
                <w:b/>
                <w:bCs/>
                <w:sz w:val="18"/>
                <w:szCs w:val="18"/>
              </w:rPr>
              <w:t xml:space="preserve">DEFAULT</w:t>
            </w:r>
          </w:p>
        </w:tc>
        <w:tc>
          <w:tcPr>
            <w:tcW w:type="dxa" w:w="1100"/>
            <w:tcBorders>
              <w:top w:val="single" w:color="999999" w:sz="1"/>
              <w:left w:val="single" w:color="999999" w:sz="1"/>
              <w:bottom w:val="single" w:color="999999" w:sz="1"/>
              <w:right w:val="single" w:color="999999" w:sz="1"/>
            </w:tcBorders>
            <w:shd w:fill="E8E8E8" w:val="clear"/>
            <w:vAlign w:val="center"/>
          </w:tcPr>
          <w:p>
            <w:pPr>
              <w:spacing w:after="40" w:before="40"/>
              <w:jc w:val="center"/>
            </w:pPr>
            <w:r>
              <w:rPr>
                <w:rFonts w:ascii="Times New Roman" w:cs="Times New Roman" w:eastAsia="Times New Roman" w:hAnsi="Times New Roman"/>
                <w:b/>
                <w:bCs/>
                <w:sz w:val="18"/>
                <w:szCs w:val="18"/>
              </w:rPr>
              <w:t xml:space="preserve">SPEECH</w:t>
            </w:r>
          </w:p>
        </w:tc>
        <w:tc>
          <w:tcPr>
            <w:tcW w:type="dxa" w:w="1100"/>
            <w:tcBorders>
              <w:top w:val="single" w:color="999999" w:sz="1"/>
              <w:left w:val="single" w:color="999999" w:sz="1"/>
              <w:bottom w:val="single" w:color="999999" w:sz="1"/>
              <w:right w:val="single" w:color="999999" w:sz="1"/>
            </w:tcBorders>
            <w:shd w:fill="E8E8E8" w:val="clear"/>
            <w:vAlign w:val="center"/>
          </w:tcPr>
          <w:p>
            <w:pPr>
              <w:spacing w:after="40" w:before="40"/>
              <w:jc w:val="center"/>
            </w:pPr>
            <w:r>
              <w:rPr>
                <w:rFonts w:ascii="Times New Roman" w:cs="Times New Roman" w:eastAsia="Times New Roman" w:hAnsi="Times New Roman"/>
                <w:b/>
                <w:bCs/>
                <w:sz w:val="18"/>
                <w:szCs w:val="18"/>
              </w:rPr>
              <w:t xml:space="preserve">MUSIC</w:t>
            </w:r>
          </w:p>
        </w:tc>
        <w:tc>
          <w:tcPr>
            <w:tcW w:type="dxa" w:w="1100"/>
            <w:tcBorders>
              <w:top w:val="single" w:color="999999" w:sz="1"/>
              <w:left w:val="single" w:color="999999" w:sz="1"/>
              <w:bottom w:val="single" w:color="999999" w:sz="1"/>
              <w:right w:val="single" w:color="999999" w:sz="1"/>
            </w:tcBorders>
            <w:shd w:fill="E8E8E8" w:val="clear"/>
            <w:vAlign w:val="center"/>
          </w:tcPr>
          <w:p>
            <w:pPr>
              <w:spacing w:after="40" w:before="40"/>
              <w:jc w:val="center"/>
            </w:pPr>
            <w:r>
              <w:rPr>
                <w:rFonts w:ascii="Times New Roman" w:cs="Times New Roman" w:eastAsia="Times New Roman" w:hAnsi="Times New Roman"/>
                <w:b/>
                <w:bCs/>
                <w:sz w:val="18"/>
                <w:szCs w:val="18"/>
              </w:rPr>
              <w:t xml:space="preserve">COMPR.</w:t>
            </w:r>
          </w:p>
        </w:tc>
        <w:tc>
          <w:tcPr>
            <w:tcW w:type="dxa" w:w="1100"/>
            <w:tcBorders>
              <w:top w:val="single" w:color="999999" w:sz="1"/>
              <w:left w:val="single" w:color="999999" w:sz="1"/>
              <w:bottom w:val="single" w:color="999999" w:sz="1"/>
              <w:right w:val="single" w:color="999999" w:sz="1"/>
            </w:tcBorders>
            <w:shd w:fill="E8E8E8" w:val="clear"/>
            <w:vAlign w:val="center"/>
          </w:tcPr>
          <w:p>
            <w:pPr>
              <w:spacing w:after="40" w:before="40"/>
              <w:jc w:val="center"/>
            </w:pPr>
            <w:r>
              <w:rPr>
                <w:rFonts w:ascii="Times New Roman" w:cs="Times New Roman" w:eastAsia="Times New Roman" w:hAnsi="Times New Roman"/>
                <w:b/>
                <w:bCs/>
                <w:sz w:val="18"/>
                <w:szCs w:val="18"/>
              </w:rPr>
              <w:t xml:space="preserve">Room*</w:t>
            </w:r>
          </w:p>
        </w:tc>
        <w:tc>
          <w:tcPr>
            <w:tcW w:type="dxa" w:w="1100"/>
            <w:tcBorders>
              <w:top w:val="single" w:color="999999" w:sz="1"/>
              <w:left w:val="single" w:color="999999" w:sz="1"/>
              <w:bottom w:val="single" w:color="999999" w:sz="1"/>
              <w:right w:val="single" w:color="999999" w:sz="1"/>
            </w:tcBorders>
            <w:shd w:fill="E8E8E8" w:val="clear"/>
            <w:vAlign w:val="center"/>
          </w:tcPr>
          <w:p>
            <w:pPr>
              <w:spacing w:after="40" w:before="40"/>
              <w:jc w:val="center"/>
            </w:pPr>
            <w:r>
              <w:rPr>
                <w:rFonts w:ascii="Times New Roman" w:cs="Times New Roman" w:eastAsia="Times New Roman" w:hAnsi="Times New Roman"/>
                <w:b/>
                <w:bCs/>
                <w:sz w:val="18"/>
                <w:szCs w:val="18"/>
              </w:rPr>
              <w:t xml:space="preserve">Feedback*</w:t>
            </w:r>
          </w:p>
        </w:tc>
      </w:tr>
      <w:tr>
        <w:tc>
          <w:tcPr>
            <w:tcW w:type="dxa" w:w="1700"/>
            <w:tcBorders>
              <w:top w:val="single" w:color="999999" w:sz="1"/>
              <w:left w:val="single" w:color="999999" w:sz="1"/>
              <w:bottom w:val="single" w:color="999999" w:sz="1"/>
              <w:right w:val="single" w:color="999999" w:sz="1"/>
            </w:tcBorders>
            <w:vAlign w:val="center"/>
          </w:tcPr>
          <w:p>
            <w:pPr>
              <w:spacing w:after="30" w:before="30"/>
              <w:jc w:val="left"/>
            </w:pPr>
            <w:r>
              <w:rPr>
                <w:rFonts w:ascii="Times New Roman" w:cs="Times New Roman" w:eastAsia="Times New Roman" w:hAnsi="Times New Roman"/>
                <w:sz w:val="18"/>
                <w:szCs w:val="18"/>
              </w:rPr>
              <w:t xml:space="preserve">MSD [1]</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0.27</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0.30</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0.07</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0.11</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w:t>
            </w:r>
          </w:p>
        </w:tc>
      </w:tr>
      <w:tr>
        <w:tc>
          <w:tcPr>
            <w:tcW w:type="dxa" w:w="1700"/>
            <w:tcBorders>
              <w:top w:val="single" w:color="999999" w:sz="1"/>
              <w:left w:val="single" w:color="999999" w:sz="1"/>
              <w:bottom w:val="single" w:color="999999" w:sz="1"/>
              <w:right w:val="single" w:color="999999" w:sz="1"/>
            </w:tcBorders>
            <w:vAlign w:val="center"/>
          </w:tcPr>
          <w:p>
            <w:pPr>
              <w:spacing w:after="30" w:before="30"/>
              <w:jc w:val="left"/>
            </w:pPr>
            <w:r>
              <w:rPr>
                <w:rFonts w:ascii="Times New Roman" w:cs="Times New Roman" w:eastAsia="Times New Roman" w:hAnsi="Times New Roman"/>
                <w:sz w:val="18"/>
                <w:szCs w:val="18"/>
              </w:rPr>
              <w:t xml:space="preserve">Phase [15]</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0.23</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0.22</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0.32</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0.27</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0.90</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0.95</w:t>
            </w:r>
          </w:p>
        </w:tc>
      </w:tr>
      <w:tr>
        <w:tc>
          <w:tcPr>
            <w:tcW w:type="dxa" w:w="1700"/>
            <w:tcBorders>
              <w:top w:val="single" w:color="999999" w:sz="1"/>
              <w:left w:val="single" w:color="999999" w:sz="1"/>
              <w:bottom w:val="single" w:color="999999" w:sz="1"/>
              <w:right w:val="single" w:color="999999" w:sz="1"/>
            </w:tcBorders>
            <w:vAlign w:val="center"/>
          </w:tcPr>
          <w:p>
            <w:pPr>
              <w:spacing w:after="30" w:before="30"/>
              <w:jc w:val="left"/>
            </w:pPr>
            <w:r>
              <w:rPr>
                <w:rFonts w:ascii="Times New Roman" w:cs="Times New Roman" w:eastAsia="Times New Roman" w:hAnsi="Times New Roman"/>
                <w:sz w:val="18"/>
                <w:szCs w:val="18"/>
              </w:rPr>
              <w:t xml:space="preserve">Spectral [3]</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0.11</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0.09</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0.09</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0.16</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0.95</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0.98</w:t>
            </w:r>
          </w:p>
        </w:tc>
      </w:tr>
      <w:tr>
        <w:tc>
          <w:tcPr>
            <w:tcW w:type="dxa" w:w="1700"/>
            <w:tcBorders>
              <w:top w:val="single" w:color="999999" w:sz="1"/>
              <w:left w:val="single" w:color="999999" w:sz="1"/>
              <w:bottom w:val="single" w:color="999999" w:sz="1"/>
              <w:right w:val="single" w:color="999999" w:sz="1"/>
            </w:tcBorders>
            <w:vAlign w:val="center"/>
          </w:tcPr>
          <w:p>
            <w:pPr>
              <w:spacing w:after="30" w:before="30"/>
              <w:jc w:val="left"/>
            </w:pPr>
            <w:r>
              <w:rPr>
                <w:rFonts w:ascii="Times New Roman" w:cs="Times New Roman" w:eastAsia="Times New Roman" w:hAnsi="Times New Roman"/>
                <w:sz w:val="18"/>
                <w:szCs w:val="18"/>
              </w:rPr>
              <w:t xml:space="preserve">Comb</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0.07</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0.04</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0.07</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0.07</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0.70</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0.75</w:t>
            </w:r>
          </w:p>
        </w:tc>
      </w:tr>
      <w:tr>
        <w:tc>
          <w:tcPr>
            <w:tcW w:type="dxa" w:w="1700"/>
            <w:tcBorders>
              <w:top w:val="single" w:color="999999" w:sz="1"/>
              <w:left w:val="single" w:color="999999" w:sz="1"/>
              <w:bottom w:val="single" w:color="999999" w:sz="1"/>
              <w:right w:val="single" w:color="999999" w:sz="1"/>
            </w:tcBorders>
            <w:vAlign w:val="center"/>
          </w:tcPr>
          <w:p>
            <w:pPr>
              <w:spacing w:after="30" w:before="30"/>
              <w:jc w:val="left"/>
            </w:pPr>
            <w:r>
              <w:rPr>
                <w:rFonts w:ascii="Times New Roman" w:cs="Times New Roman" w:eastAsia="Times New Roman" w:hAnsi="Times New Roman"/>
                <w:sz w:val="18"/>
                <w:szCs w:val="18"/>
              </w:rPr>
              <w:t xml:space="preserve">IHR (Novel)</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0.12</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0.09</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0.22</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0.16</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0.95</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0.95</w:t>
            </w:r>
          </w:p>
        </w:tc>
      </w:tr>
      <w:tr>
        <w:tc>
          <w:tcPr>
            <w:tcW w:type="dxa" w:w="1700"/>
            <w:tcBorders>
              <w:top w:val="single" w:color="999999" w:sz="1"/>
              <w:left w:val="single" w:color="999999" w:sz="1"/>
              <w:bottom w:val="single" w:color="999999" w:sz="1"/>
              <w:right w:val="single" w:color="999999" w:sz="1"/>
            </w:tcBorders>
            <w:vAlign w:val="center"/>
          </w:tcPr>
          <w:p>
            <w:pPr>
              <w:spacing w:after="30" w:before="30"/>
              <w:jc w:val="left"/>
            </w:pPr>
            <w:r>
              <w:rPr>
                <w:rFonts w:ascii="Times New Roman" w:cs="Times New Roman" w:eastAsia="Times New Roman" w:hAnsi="Times New Roman"/>
                <w:sz w:val="18"/>
                <w:szCs w:val="18"/>
              </w:rPr>
              <w:t xml:space="preserve">PTMR (Novel)</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0.10</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0.16</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0.13</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0.13</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0.90</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0.95</w:t>
            </w:r>
          </w:p>
        </w:tc>
      </w:tr>
      <w:tr>
        <w:tc>
          <w:tcPr>
            <w:tcW w:type="dxa" w:w="1700"/>
            <w:tcBorders>
              <w:top w:val="single" w:color="999999" w:sz="1"/>
              <w:left w:val="single" w:color="999999" w:sz="1"/>
              <w:bottom w:val="single" w:color="999999" w:sz="1"/>
              <w:right w:val="single" w:color="999999" w:sz="1"/>
            </w:tcBorders>
            <w:vAlign w:val="center"/>
          </w:tcPr>
          <w:p>
            <w:pPr>
              <w:spacing w:after="30" w:before="30"/>
              <w:jc w:val="left"/>
            </w:pPr>
            <w:r>
              <w:rPr>
                <w:rFonts w:ascii="Times New Roman" w:cs="Times New Roman" w:eastAsia="Times New Roman" w:hAnsi="Times New Roman"/>
                <w:sz w:val="18"/>
                <w:szCs w:val="18"/>
              </w:rPr>
              <w:t xml:space="preserve">ML [20]</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0.10</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0.10</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0.10</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0.10</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w:t>
            </w:r>
          </w:p>
        </w:tc>
      </w:tr>
    </w:tbl>
    <w:p>
      <w:pPr>
        <w:spacing w:after="200" w:before="60"/>
        <w:jc w:val="center"/>
      </w:pPr>
      <w:r>
        <w:rPr>
          <w:rFonts w:ascii="Times New Roman" w:cs="Times New Roman" w:eastAsia="Times New Roman" w:hAnsi="Times New Roman"/>
          <w:i/>
          <w:iCs/>
          <w:sz w:val="18"/>
          <w:szCs w:val="18"/>
        </w:rPr>
        <w:t xml:space="preserve">Table 1. Fusion weights by content type (columns 2–5) and typical algorithm scores for room resonances vs. feedback (columns 6–7). *Simulated isolated 250 Hz peak.</w:t>
      </w:r>
    </w:p>
    <w:p>
      <w:pPr>
        <w:spacing w:after="120" w:line="276"/>
        <w:jc w:val="both"/>
      </w:pPr>
      <w:r>
        <w:rPr>
          <w:rFonts w:ascii="Times New Roman" w:cs="Times New Roman" w:eastAsia="Times New Roman" w:hAnsi="Times New Roman"/>
          <w:sz w:val="20"/>
          <w:szCs w:val="20"/>
        </w:rPr>
        <w:t xml:space="preserve">Detection confidence combines probability with inter-algorithm agreement:</w:t>
      </w:r>
    </w:p>
    <w:p>
      <w:pPr>
        <w:spacing w:after="120" w:before="120"/>
        <w:jc w:val="center"/>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(0.5 + 0.5 · (1 − √Var(</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(13)</w:t>
      </w:r>
    </w:p>
    <w:p>
      <w:pPr>
        <w:spacing w:after="100" w:before="200"/>
      </w:pPr>
      <w:r>
        <w:rPr>
          <w:rFonts w:ascii="Times New Roman" w:cs="Times New Roman" w:eastAsia="Times New Roman" w:hAnsi="Times New Roman"/>
          <w:b/>
          <w:bCs/>
          <w:sz w:val="22"/>
          <w:szCs w:val="22"/>
        </w:rPr>
        <w:t xml:space="preserve">3.5 Post-Fusion Multiplicative Gates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200"/>
        <w:gridCol w:w="1200"/>
        <w:gridCol w:w="1200"/>
      </w:tblGrid>
      <w:tr>
        <w:trPr>
          <w:tblHeader/>
        </w:trPr>
        <w:tc>
          <w:tcPr>
            <w:tcW w:type="dxa" w:w="2400"/>
            <w:tcBorders>
              <w:top w:val="single" w:color="999999" w:sz="1"/>
              <w:left w:val="single" w:color="999999" w:sz="1"/>
              <w:bottom w:val="single" w:color="999999" w:sz="1"/>
              <w:right w:val="single" w:color="999999" w:sz="1"/>
            </w:tcBorders>
            <w:shd w:fill="E8E8E8" w:val="clear"/>
            <w:vAlign w:val="center"/>
          </w:tcPr>
          <w:p>
            <w:pPr>
              <w:spacing w:after="40" w:before="40"/>
              <w:jc w:val="center"/>
            </w:pPr>
            <w:r>
              <w:rPr>
                <w:rFonts w:ascii="Times New Roman" w:cs="Times New Roman" w:eastAsia="Times New Roman" w:hAnsi="Times New Roman"/>
                <w:b/>
                <w:bCs/>
                <w:sz w:val="18"/>
                <w:szCs w:val="18"/>
              </w:rPr>
              <w:t xml:space="preserve">Gate</w:t>
            </w:r>
          </w:p>
        </w:tc>
        <w:tc>
          <w:tcPr>
            <w:tcW w:type="dxa" w:w="2400"/>
            <w:tcBorders>
              <w:top w:val="single" w:color="999999" w:sz="1"/>
              <w:left w:val="single" w:color="999999" w:sz="1"/>
              <w:bottom w:val="single" w:color="999999" w:sz="1"/>
              <w:right w:val="single" w:color="999999" w:sz="1"/>
            </w:tcBorders>
            <w:shd w:fill="E8E8E8" w:val="clear"/>
            <w:vAlign w:val="center"/>
          </w:tcPr>
          <w:p>
            <w:pPr>
              <w:spacing w:after="40" w:before="40"/>
              <w:jc w:val="center"/>
            </w:pPr>
            <w:r>
              <w:rPr>
                <w:rFonts w:ascii="Times New Roman" w:cs="Times New Roman" w:eastAsia="Times New Roman" w:hAnsi="Times New Roman"/>
                <w:b/>
                <w:bCs/>
                <w:sz w:val="18"/>
                <w:szCs w:val="18"/>
              </w:rPr>
              <w:t xml:space="preserve">Condition</w:t>
            </w:r>
          </w:p>
        </w:tc>
        <w:tc>
          <w:tcPr>
            <w:tcW w:type="dxa" w:w="1200"/>
            <w:tcBorders>
              <w:top w:val="single" w:color="999999" w:sz="1"/>
              <w:left w:val="single" w:color="999999" w:sz="1"/>
              <w:bottom w:val="single" w:color="999999" w:sz="1"/>
              <w:right w:val="single" w:color="999999" w:sz="1"/>
            </w:tcBorders>
            <w:shd w:fill="E8E8E8" w:val="clear"/>
            <w:vAlign w:val="center"/>
          </w:tcPr>
          <w:p>
            <w:pPr>
              <w:spacing w:after="40" w:before="40"/>
              <w:jc w:val="center"/>
            </w:pPr>
            <w:r>
              <w:rPr>
                <w:rFonts w:ascii="Times New Roman" w:cs="Times New Roman" w:eastAsia="Times New Roman" w:hAnsi="Times New Roman"/>
                <w:b/>
                <w:bCs/>
                <w:sz w:val="18"/>
                <w:szCs w:val="18"/>
              </w:rPr>
              <w:t xml:space="preserve">Feedback</w:t>
            </w:r>
          </w:p>
        </w:tc>
        <w:tc>
          <w:tcPr>
            <w:tcW w:type="dxa" w:w="1200"/>
            <w:tcBorders>
              <w:top w:val="single" w:color="999999" w:sz="1"/>
              <w:left w:val="single" w:color="999999" w:sz="1"/>
              <w:bottom w:val="single" w:color="999999" w:sz="1"/>
              <w:right w:val="single" w:color="999999" w:sz="1"/>
            </w:tcBorders>
            <w:shd w:fill="E8E8E8" w:val="clear"/>
            <w:vAlign w:val="center"/>
          </w:tcPr>
          <w:p>
            <w:pPr>
              <w:spacing w:after="40" w:before="40"/>
              <w:jc w:val="center"/>
            </w:pPr>
            <w:r>
              <w:rPr>
                <w:rFonts w:ascii="Times New Roman" w:cs="Times New Roman" w:eastAsia="Times New Roman" w:hAnsi="Times New Roman"/>
                <w:b/>
                <w:bCs/>
                <w:sz w:val="18"/>
                <w:szCs w:val="18"/>
              </w:rPr>
              <w:t xml:space="preserve">Room Mode</w:t>
            </w:r>
          </w:p>
        </w:tc>
        <w:tc>
          <w:tcPr>
            <w:tcW w:type="dxa" w:w="1200"/>
            <w:tcBorders>
              <w:top w:val="single" w:color="999999" w:sz="1"/>
              <w:left w:val="single" w:color="999999" w:sz="1"/>
              <w:bottom w:val="single" w:color="999999" w:sz="1"/>
              <w:right w:val="single" w:color="999999" w:sz="1"/>
            </w:tcBorders>
            <w:shd w:fill="E8E8E8" w:val="clear"/>
            <w:vAlign w:val="center"/>
          </w:tcPr>
          <w:p>
            <w:pPr>
              <w:spacing w:after="40" w:before="40"/>
              <w:jc w:val="center"/>
            </w:pPr>
            <w:r>
              <w:rPr>
                <w:rFonts w:ascii="Times New Roman" w:cs="Times New Roman" w:eastAsia="Times New Roman" w:hAnsi="Times New Roman"/>
                <w:b/>
                <w:bCs/>
                <w:sz w:val="18"/>
                <w:szCs w:val="18"/>
              </w:rPr>
              <w:t xml:space="preserve">Instrument</w:t>
            </w:r>
          </w:p>
        </w:tc>
      </w:tr>
      <w:tr>
        <w:tc>
          <w:tcPr>
            <w:tcW w:type="dxa" w:w="2400"/>
            <w:tcBorders>
              <w:top w:val="single" w:color="999999" w:sz="1"/>
              <w:left w:val="single" w:color="999999" w:sz="1"/>
              <w:bottom w:val="single" w:color="999999" w:sz="1"/>
              <w:right w:val="single" w:color="999999" w:sz="1"/>
            </w:tcBorders>
            <w:vAlign w:val="center"/>
          </w:tcPr>
          <w:p>
            <w:pPr>
              <w:spacing w:after="30" w:before="30"/>
              <w:jc w:val="left"/>
            </w:pPr>
            <w:r>
              <w:rPr>
                <w:rFonts w:ascii="Times New Roman" w:cs="Times New Roman" w:eastAsia="Times New Roman" w:hAnsi="Times New Roman"/>
                <w:sz w:val="18"/>
                <w:szCs w:val="18"/>
              </w:rPr>
              <w:t xml:space="preserve">IHR (×0.65)</w:t>
            </w:r>
          </w:p>
        </w:tc>
        <w:tc>
          <w:tcPr>
            <w:tcW w:type="dxa" w:w="24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harmonics ≥ 3, IHR &gt; 0.35</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w:t>
            </w:r>
          </w:p>
        </w:tc>
      </w:tr>
      <w:tr>
        <w:tc>
          <w:tcPr>
            <w:tcW w:type="dxa" w:w="2400"/>
            <w:tcBorders>
              <w:top w:val="single" w:color="999999" w:sz="1"/>
              <w:left w:val="single" w:color="999999" w:sz="1"/>
              <w:bottom w:val="single" w:color="999999" w:sz="1"/>
              <w:right w:val="single" w:color="999999" w:sz="1"/>
            </w:tcBorders>
            <w:vAlign w:val="center"/>
          </w:tcPr>
          <w:p>
            <w:pPr>
              <w:spacing w:after="30" w:before="30"/>
              <w:jc w:val="left"/>
            </w:pPr>
            <w:r>
              <w:rPr>
                <w:rFonts w:ascii="Times New Roman" w:cs="Times New Roman" w:eastAsia="Times New Roman" w:hAnsi="Times New Roman"/>
                <w:sz w:val="18"/>
                <w:szCs w:val="18"/>
              </w:rPr>
              <w:t xml:space="preserve">PTMR (×0.80)</w:t>
            </w:r>
          </w:p>
        </w:tc>
        <w:tc>
          <w:tcPr>
            <w:tcW w:type="dxa" w:w="24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PTMR score &lt; 0.2</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w:t>
            </w:r>
          </w:p>
        </w:tc>
      </w:tr>
      <w:tr>
        <w:tc>
          <w:tcPr>
            <w:tcW w:type="dxa" w:w="2400"/>
            <w:tcBorders>
              <w:top w:val="single" w:color="999999" w:sz="1"/>
              <w:left w:val="single" w:color="999999" w:sz="1"/>
              <w:bottom w:val="single" w:color="999999" w:sz="1"/>
              <w:right w:val="single" w:color="999999" w:sz="1"/>
            </w:tcBorders>
            <w:vAlign w:val="center"/>
          </w:tcPr>
          <w:p>
            <w:pPr>
              <w:spacing w:after="30" w:before="30"/>
              <w:jc w:val="left"/>
            </w:pPr>
            <w:r>
              <w:rPr>
                <w:rFonts w:ascii="Times New Roman" w:cs="Times New Roman" w:eastAsia="Times New Roman" w:hAnsi="Times New Roman"/>
                <w:sz w:val="18"/>
                <w:szCs w:val="18"/>
              </w:rPr>
              <w:t xml:space="preserve">Comb (×0.25)</w:t>
            </w:r>
          </w:p>
        </w:tc>
        <w:tc>
          <w:tcPr>
            <w:tcW w:type="dxa" w:w="24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spacing CV &gt; 0.05</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w:t>
            </w:r>
          </w:p>
        </w:tc>
      </w:tr>
      <w:tr>
        <w:tc>
          <w:tcPr>
            <w:tcW w:type="dxa" w:w="2400"/>
            <w:tcBorders>
              <w:top w:val="single" w:color="999999" w:sz="1"/>
              <w:left w:val="single" w:color="999999" w:sz="1"/>
              <w:bottom w:val="single" w:color="999999" w:sz="1"/>
              <w:right w:val="single" w:color="999999" w:sz="1"/>
            </w:tcBorders>
            <w:vAlign w:val="center"/>
          </w:tcPr>
          <w:p>
            <w:pPr>
              <w:spacing w:after="30" w:before="30"/>
              <w:jc w:val="left"/>
            </w:pPr>
            <w:r>
              <w:rPr>
                <w:rFonts w:ascii="Times New Roman" w:cs="Times New Roman" w:eastAsia="Times New Roman" w:hAnsi="Times New Roman"/>
                <w:sz w:val="18"/>
                <w:szCs w:val="18"/>
              </w:rPr>
              <w:t xml:space="preserve">Formant (×0.65)</w:t>
            </w:r>
          </w:p>
        </w:tc>
        <w:tc>
          <w:tcPr>
            <w:tcW w:type="dxa" w:w="24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2+ peaks in F1/F2/F3, Q 3–20</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w:t>
            </w:r>
          </w:p>
        </w:tc>
      </w:tr>
      <w:tr>
        <w:tc>
          <w:tcPr>
            <w:tcW w:type="dxa" w:w="2400"/>
            <w:tcBorders>
              <w:top w:val="single" w:color="999999" w:sz="1"/>
              <w:left w:val="single" w:color="999999" w:sz="1"/>
              <w:bottom w:val="single" w:color="999999" w:sz="1"/>
              <w:right w:val="single" w:color="999999" w:sz="1"/>
            </w:tcBorders>
            <w:vAlign w:val="center"/>
          </w:tcPr>
          <w:p>
            <w:pPr>
              <w:spacing w:after="30" w:before="30"/>
              <w:jc w:val="left"/>
            </w:pPr>
            <w:r>
              <w:rPr>
                <w:rFonts w:ascii="Times New Roman" w:cs="Times New Roman" w:eastAsia="Times New Roman" w:hAnsi="Times New Roman"/>
                <w:sz w:val="18"/>
                <w:szCs w:val="18"/>
              </w:rPr>
              <w:t xml:space="preserve">Chromatic (×0.60)</w:t>
            </w:r>
          </w:p>
        </w:tc>
        <w:tc>
          <w:tcPr>
            <w:tcW w:type="dxa" w:w="24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±5¢ from 12-TET, coh &gt; 0.80</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w:t>
            </w:r>
          </w:p>
        </w:tc>
      </w:tr>
      <w:tr>
        <w:tc>
          <w:tcPr>
            <w:tcW w:type="dxa" w:w="2400"/>
            <w:tcBorders>
              <w:top w:val="single" w:color="999999" w:sz="1"/>
              <w:left w:val="single" w:color="999999" w:sz="1"/>
              <w:bottom w:val="single" w:color="999999" w:sz="1"/>
              <w:right w:val="single" w:color="999999" w:sz="1"/>
            </w:tcBorders>
            <w:vAlign w:val="center"/>
          </w:tcPr>
          <w:p>
            <w:pPr>
              <w:spacing w:after="30" w:before="30"/>
              <w:jc w:val="left"/>
            </w:pPr>
            <w:r>
              <w:rPr>
                <w:rFonts w:ascii="Times New Roman" w:cs="Times New Roman" w:eastAsia="Times New Roman" w:hAnsi="Times New Roman"/>
                <w:sz w:val="18"/>
                <w:szCs w:val="18"/>
              </w:rPr>
              <w:t xml:space="preserve">Room mode*</w:t>
            </w:r>
          </w:p>
        </w:tc>
        <w:tc>
          <w:tcPr>
            <w:tcW w:type="dxa" w:w="24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Q ratio &lt; 1.0 vs Q_room</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N/A</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N/A</w:t>
            </w:r>
          </w:p>
        </w:tc>
      </w:tr>
      <w:tr>
        <w:tc>
          <w:tcPr>
            <w:tcW w:type="dxa" w:w="2400"/>
            <w:tcBorders>
              <w:top w:val="single" w:color="999999" w:sz="1"/>
              <w:left w:val="single" w:color="999999" w:sz="1"/>
              <w:bottom w:val="single" w:color="999999" w:sz="1"/>
              <w:right w:val="single" w:color="999999" w:sz="1"/>
            </w:tcBorders>
            <w:vAlign w:val="center"/>
          </w:tcPr>
          <w:p>
            <w:pPr>
              <w:spacing w:after="30" w:before="30"/>
              <w:jc w:val="left"/>
            </w:pPr>
            <w:r>
              <w:rPr>
                <w:rFonts w:ascii="Times New Roman" w:cs="Times New Roman" w:eastAsia="Times New Roman" w:hAnsi="Times New Roman"/>
                <w:sz w:val="18"/>
                <w:szCs w:val="18"/>
              </w:rPr>
              <w:t xml:space="preserve">Modal density*</w:t>
            </w:r>
          </w:p>
        </w:tc>
        <w:tc>
          <w:tcPr>
            <w:tcW w:type="dxa" w:w="24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n(f) &lt; 0.5 modes/Hz</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N/A</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N/A</w:t>
            </w:r>
          </w:p>
        </w:tc>
      </w:tr>
    </w:tbl>
    <w:p>
      <w:pPr>
        <w:spacing w:after="200" w:before="60"/>
        <w:jc w:val="center"/>
      </w:pPr>
      <w:r>
        <w:rPr>
          <w:rFonts w:ascii="Times New Roman" w:cs="Times New Roman" w:eastAsia="Times New Roman" w:hAnsi="Times New Roman"/>
          <w:i/>
          <w:iCs/>
          <w:sz w:val="18"/>
          <w:szCs w:val="18"/>
        </w:rPr>
        <w:t xml:space="preserve">Table 2. Post-fusion gate activation matrix. ✓ = fires, ✗ = does not fire. *Room mode gates require roomPreset ≠ 'none' (disabled by default).</w:t>
      </w:r>
    </w:p>
    <w:p>
      <w:pPr>
        <w:spacing w:after="100" w:before="200"/>
      </w:pPr>
      <w:r>
        <w:rPr>
          <w:rFonts w:ascii="Times New Roman" w:cs="Times New Roman" w:eastAsia="Times New Roman" w:hAnsi="Times New Roman"/>
          <w:b/>
          <w:bCs/>
          <w:sz w:val="22"/>
          <w:szCs w:val="22"/>
        </w:rPr>
        <w:t xml:space="preserve">3.6 Neural Network Meta-Model</w:t>
      </w:r>
    </w:p>
    <w:p>
      <w:pPr>
        <w:spacing w:after="120" w:line="276"/>
        <w:jc w:val="both"/>
      </w:pPr>
      <w:r>
        <w:rPr>
          <w:rFonts w:ascii="Times New Roman" w:cs="Times New Roman" w:eastAsia="Times New Roman" w:hAnsi="Times New Roman"/>
          <w:sz w:val="20"/>
          <w:szCs w:val="20"/>
        </w:rPr>
        <w:t xml:space="preserve">A 7th “algorithm” score is provided by a multilayer perceptron (MLP) with architecture 11 → 32 → 16 → 1 (929 parameters, 4 KB ONNX model). Input features: the six algorithm scores, previous frame’s fused probability and confidence, and three one-hot content-type indicators. The bootstrap model encodes existing gate logic via a numpy-only training script; it is designed to evolve as labeled user feedback accumulates via the system’s spectral snapshot collection pipeline [20].</w:t>
      </w:r>
    </w:p>
    <w:p>
      <w:pPr>
        <w:spacing w:after="100" w:before="200"/>
      </w:pPr>
      <w:r>
        <w:rPr>
          <w:rFonts w:ascii="Times New Roman" w:cs="Times New Roman" w:eastAsia="Times New Roman" w:hAnsi="Times New Roman"/>
          <w:b/>
          <w:bCs/>
          <w:sz w:val="22"/>
          <w:szCs w:val="22"/>
        </w:rPr>
        <w:t xml:space="preserve">3.7 EQ Advisory Generation</w:t>
      </w:r>
    </w:p>
    <w:p>
      <w:pPr>
        <w:spacing w:after="120" w:line="276"/>
        <w:jc w:val="both"/>
      </w:pPr>
      <w:r>
        <w:rPr>
          <w:rFonts w:ascii="Times New Roman" w:cs="Times New Roman" w:eastAsia="Times New Roman" w:hAnsi="Times New Roman"/>
          <w:sz w:val="20"/>
          <w:szCs w:val="20"/>
        </w:rPr>
        <w:t xml:space="preserve">When feedback probability exceeds the reporting threshold (≥ 0.60 with confidence ≥ 0.60), the system generates parametric EQ (PEQ) recommendations. Cut depth is scaled psychoacoustically using the Equivalent Rectangular Bandwidth (ERB) [3]:</w:t>
      </w:r>
    </w:p>
    <w:p>
      <w:pPr>
        <w:spacing w:after="120" w:before="120"/>
        <w:jc w:val="center"/>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ERB(</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 24.7 · (4.37</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 1000 + 1)</w:t>
      </w:r>
      <w:r>
        <w:rPr>
          <w:rFonts w:ascii="Times New Roman" w:cs="Times New Roman" w:eastAsia="Times New Roman" w:hAnsi="Times New Roman"/>
          <w:sz w:val="20"/>
          <w:szCs w:val="20"/>
        </w:rPr>
        <w:t xml:space="preserve">    (14)</w:t>
      </w:r>
    </w:p>
    <w:p>
      <w:pPr>
        <w:spacing w:after="120" w:line="276"/>
        <w:jc w:val="both"/>
      </w:pPr>
      <w:r>
        <w:rPr>
          <w:rFonts w:ascii="Times New Roman" w:cs="Times New Roman" w:eastAsia="Times New Roman" w:hAnsi="Times New Roman"/>
          <w:sz w:val="20"/>
          <w:szCs w:val="20"/>
        </w:rPr>
        <w:t xml:space="preserve">A frequency-dependent scaling factor adjusts notch depth: ×0.7 for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 500 Hz (protecting warmth), linearly interpolated, to ×1.2 for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 2000 Hz (where notches are perceptually transparent). The MINDS (MSD-Inspired Notch Depth Setting) algorithm further adjusts depth based on magnitude growth rate [20].</w:t>
      </w:r>
    </w:p>
    <w:p>
      <w:r>
        <w:br w:type="page"/>
      </w:r>
    </w:p>
    <w:p>
      <w:pPr>
        <w:spacing w:after="120" w:before="240"/>
      </w:pPr>
      <w:r>
        <w:rPr>
          <w:rFonts w:ascii="Times New Roman" w:cs="Times New Roman" w:eastAsia="Times New Roman" w:hAnsi="Times New Roman"/>
          <w:b/>
          <w:bCs/>
          <w:sz w:val="24"/>
          <w:szCs w:val="24"/>
        </w:rPr>
        <w:t xml:space="preserve">4. THE EMERGENT PHENOMENON</w:t>
      </w:r>
    </w:p>
    <w:p>
      <w:pPr>
        <w:spacing w:after="100" w:before="200"/>
      </w:pPr>
      <w:r>
        <w:rPr>
          <w:rFonts w:ascii="Times New Roman" w:cs="Times New Roman" w:eastAsia="Times New Roman" w:hAnsi="Times New Roman"/>
          <w:b/>
          <w:bCs/>
          <w:sz w:val="22"/>
          <w:szCs w:val="22"/>
        </w:rPr>
        <w:t xml:space="preserve">4.1 Observation</w:t>
      </w:r>
    </w:p>
    <w:p>
      <w:pPr>
        <w:spacing w:after="120" w:line="276"/>
        <w:jc w:val="both"/>
      </w:pPr>
      <w:r>
        <w:rPr>
          <w:rFonts w:ascii="Times New Roman" w:cs="Times New Roman" w:eastAsia="Times New Roman" w:hAnsi="Times New Roman"/>
          <w:sz w:val="20"/>
          <w:szCs w:val="20"/>
        </w:rPr>
        <w:t xml:space="preserve">During routine testing, the KTR system was operated in Ring-Out mode — a calibration configuration employing a 2 dB prominence threshold, 0.30 confidence threshold, and 16384-point FFT (2.93 Hz resolution at 48 kHz). </w:t>
      </w:r>
      <w:r>
        <w:rPr>
          <w:rFonts w:ascii="Times New Roman" w:cs="Times New Roman" w:eastAsia="Times New Roman" w:hAnsi="Times New Roman"/>
          <w:b/>
          <w:bCs/>
          <w:sz w:val="20"/>
          <w:szCs w:val="20"/>
        </w:rPr>
        <w:t xml:space="preserve">No electroacoustic feedback loop was present</w:t>
      </w:r>
      <w:r>
        <w:rPr>
          <w:rFonts w:ascii="Times New Roman" w:cs="Times New Roman" w:eastAsia="Times New Roman" w:hAnsi="Times New Roman"/>
          <w:sz w:val="20"/>
          <w:szCs w:val="20"/>
        </w:rPr>
        <w:t xml:space="preserve">: the microphone was not routed to any loudspeaker system. The system was simply listening to ambient room sound.</w:t>
      </w:r>
    </w:p>
    <w:p>
      <w:pPr>
        <w:spacing w:after="120" w:line="276"/>
        <w:jc w:val="both"/>
      </w:pPr>
      <w:r>
        <w:rPr>
          <w:rFonts w:ascii="Times New Roman" w:cs="Times New Roman" w:eastAsia="Times New Roman" w:hAnsi="Times New Roman"/>
          <w:sz w:val="20"/>
          <w:szCs w:val="20"/>
        </w:rPr>
        <w:t xml:space="preserve">Under these conditions, the system began generating sustained EQ advisories — recommending parametric notch cuts at specific frequencies with Q factors and depths consistent with its normal feedback remediation output. The advisory frequencies corresponded to persistent spectral peaks in the ambient room sound, subsequently identified as room resonance modes.</w:t>
      </w:r>
    </w:p>
    <w:p>
      <w:pPr>
        <w:spacing w:after="100" w:before="200"/>
      </w:pPr>
      <w:r>
        <w:rPr>
          <w:rFonts w:ascii="Times New Roman" w:cs="Times New Roman" w:eastAsia="Times New Roman" w:hAnsi="Times New Roman"/>
          <w:b/>
          <w:bCs/>
          <w:sz w:val="22"/>
          <w:szCs w:val="22"/>
        </w:rPr>
        <w:t xml:space="preserve">4.2 Algorithm Response to Room Modes</w:t>
      </w:r>
    </w:p>
    <w:p>
      <w:pPr>
        <w:spacing w:after="120" w:line="276"/>
        <w:jc w:val="both"/>
      </w:pPr>
      <w:r>
        <w:rPr>
          <w:rFonts w:ascii="Times New Roman" w:cs="Times New Roman" w:eastAsia="Times New Roman" w:hAnsi="Times New Roman"/>
          <w:sz w:val="20"/>
          <w:szCs w:val="20"/>
        </w:rPr>
        <w:t xml:space="preserve">Analysis of the algorithm scores for a representative room resonance at 250 Hz (a common first axial mode for rooms with one dimension ≈ 0.69 m) reveals that all six algorithms report scores nearly identical to those produced by genuine acoustic feedback at the same frequency. Table 1 (columns 6–7) presents typical scores demonstrating this equivalence.</w:t>
      </w:r>
    </w:p>
    <w:p>
      <w:pPr>
        <w:spacing w:after="120" w:line="276"/>
        <w:jc w:val="both"/>
      </w:pPr>
      <w:r>
        <w:rPr>
          <w:rFonts w:ascii="Times New Roman" w:cs="Times New Roman" w:eastAsia="Times New Roman" w:hAnsi="Times New Roman"/>
          <w:sz w:val="20"/>
          <w:szCs w:val="20"/>
        </w:rPr>
        <w:t xml:space="preserve">The unanimous agreement across all six algorithms produces high confidence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 0.82) and high feedback probability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0.75), exceeding all reporting thresholds. The system’s verdict: </w:t>
      </w:r>
      <w:r>
        <w:rPr>
          <w:rFonts w:ascii="Times New Roman" w:cs="Times New Roman" w:eastAsia="Times New Roman" w:hAnsi="Times New Roman"/>
          <w:b/>
          <w:bCs/>
          <w:sz w:val="20"/>
          <w:szCs w:val="20"/>
        </w:rPr>
        <w:t xml:space="preserve">ACOUSTIC_FEEDBACK</w:t>
      </w:r>
      <w:r>
        <w:rPr>
          <w:rFonts w:ascii="Times New Roman" w:cs="Times New Roman" w:eastAsia="Times New Roman" w:hAnsi="Times New Roman"/>
          <w:sz w:val="20"/>
          <w:szCs w:val="20"/>
        </w:rPr>
        <w:t xml:space="preserve">.</w:t>
      </w:r>
    </w:p>
    <w:p>
      <w:pPr>
        <w:spacing w:after="100" w:before="200"/>
      </w:pPr>
      <w:r>
        <w:rPr>
          <w:rFonts w:ascii="Times New Roman" w:cs="Times New Roman" w:eastAsia="Times New Roman" w:hAnsi="Times New Roman"/>
          <w:b/>
          <w:bCs/>
          <w:sz w:val="22"/>
          <w:szCs w:val="22"/>
        </w:rPr>
        <w:t xml:space="preserve">4.3 Why Suppression Gates Do Not Activate</w:t>
      </w:r>
    </w:p>
    <w:p>
      <w:pPr>
        <w:spacing w:after="120" w:line="276"/>
        <w:jc w:val="both"/>
      </w:pPr>
      <w:r>
        <w:rPr>
          <w:rFonts w:ascii="Times New Roman" w:cs="Times New Roman" w:eastAsia="Times New Roman" w:hAnsi="Times New Roman"/>
          <w:sz w:val="20"/>
          <w:szCs w:val="20"/>
        </w:rPr>
        <w:t xml:space="preserve">The system includes two room-aware suppression gates (Table 2, rows 6–7): a room mode proximity gate comparing measured Q to the theoretical room mode Q [2]:</w:t>
      </w:r>
    </w:p>
    <w:p>
      <w:pPr>
        <w:spacing w:after="120" w:before="120"/>
        <w:jc w:val="center"/>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vertAlign w:val="subscript"/>
        </w:rPr>
        <w:t xml:space="preserve">room</w:t>
      </w:r>
      <w:r>
        <w:rPr>
          <w:rFonts w:ascii="Times New Roman" w:cs="Times New Roman" w:eastAsia="Times New Roman" w:hAnsi="Times New Roman"/>
          <w:sz w:val="20"/>
          <w:szCs w:val="20"/>
        </w:rPr>
        <w:t xml:space="preserve"> = π</w:t>
      </w:r>
      <w:r>
        <w:rPr>
          <w:rFonts w:ascii="Times New Roman" w:cs="Times New Roman" w:eastAsia="Times New Roman" w:hAnsi="Times New Roman"/>
          <w:i/>
          <w:iCs/>
          <w:sz w:val="20"/>
          <w:szCs w:val="20"/>
        </w:rPr>
        <w:t xml:space="preserve">f</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60</w:t>
      </w:r>
      <w:r>
        <w:rPr>
          <w:rFonts w:ascii="Times New Roman" w:cs="Times New Roman" w:eastAsia="Times New Roman" w:hAnsi="Times New Roman"/>
          <w:sz w:val="20"/>
          <w:szCs w:val="20"/>
        </w:rPr>
        <w:t xml:space="preserve"> / 6.9</w:t>
      </w:r>
      <w:r>
        <w:rPr>
          <w:rFonts w:ascii="Times New Roman" w:cs="Times New Roman" w:eastAsia="Times New Roman" w:hAnsi="Times New Roman"/>
          <w:sz w:val="20"/>
          <w:szCs w:val="20"/>
        </w:rPr>
        <w:t xml:space="preserve">    (15)</w:t>
      </w:r>
    </w:p>
    <w:p>
      <w:pPr>
        <w:spacing w:after="120" w:line="276"/>
        <w:jc w:val="both"/>
      </w:pPr>
      <w:r>
        <w:rPr>
          <w:rFonts w:ascii="Times New Roman" w:cs="Times New Roman" w:eastAsia="Times New Roman" w:hAnsi="Times New Roman"/>
          <w:sz w:val="20"/>
          <w:szCs w:val="20"/>
        </w:rPr>
        <w:t xml:space="preserve">and a modal density gate using Equation (3). However, both gates are </w:t>
      </w:r>
      <w:r>
        <w:rPr>
          <w:rFonts w:ascii="Times New Roman" w:cs="Times New Roman" w:eastAsia="Times New Roman" w:hAnsi="Times New Roman"/>
          <w:b/>
          <w:bCs/>
          <w:sz w:val="20"/>
          <w:szCs w:val="20"/>
        </w:rPr>
        <w:t xml:space="preserve">conditionally disabled</w:t>
      </w:r>
      <w:r>
        <w:rPr>
          <w:rFonts w:ascii="Times New Roman" w:cs="Times New Roman" w:eastAsia="Times New Roman" w:hAnsi="Times New Roman"/>
          <w:sz w:val="20"/>
          <w:szCs w:val="20"/>
        </w:rPr>
        <w:t xml:space="preserve">: they require the user to have configured a room preset (</w:t>
      </w:r>
      <w:r>
        <w:rPr>
          <w:rFonts w:ascii="Times New Roman" w:cs="Times New Roman" w:eastAsia="Times New Roman" w:hAnsi="Times New Roman"/>
          <w:i/>
          <w:iCs/>
          <w:sz w:val="20"/>
          <w:szCs w:val="20"/>
        </w:rPr>
        <w:t xml:space="preserve">roomPreset ≠ 'none'</w:t>
      </w:r>
      <w:r>
        <w:rPr>
          <w:rFonts w:ascii="Times New Roman" w:cs="Times New Roman" w:eastAsia="Times New Roman" w:hAnsi="Times New Roman"/>
          <w:sz w:val="20"/>
          <w:szCs w:val="20"/>
        </w:rPr>
        <w:t xml:space="preserve">). The default configuration is </w:t>
      </w:r>
      <w:r>
        <w:rPr>
          <w:rFonts w:ascii="Times New Roman" w:cs="Times New Roman" w:eastAsia="Times New Roman" w:hAnsi="Times New Roman"/>
          <w:i/>
          <w:iCs/>
          <w:sz w:val="20"/>
          <w:szCs w:val="20"/>
        </w:rPr>
        <w:t xml:space="preserve">roomPreset = 'none'</w:t>
      </w:r>
      <w:r>
        <w:rPr>
          <w:rFonts w:ascii="Times New Roman" w:cs="Times New Roman" w:eastAsia="Times New Roman" w:hAnsi="Times New Roman"/>
          <w:sz w:val="20"/>
          <w:szCs w:val="20"/>
        </w:rPr>
        <w:t xml:space="preserve">, meaning all room physics computations are bypassed. The five general-purpose gates (IHR, PTMR, Comb Stability, Formant, Chromatic) do not fire on isolated room modes because room resonances do not exhibit harmonic richness (IHR gate), broadband energy (PTMR gate), frequency sweep (Comb gate), vocal formant patterns (Formant gate), or chromatic quantization (Chromatic gate).</w:t>
      </w:r>
    </w:p>
    <w:p>
      <w:pPr>
        <w:spacing w:after="100" w:before="200"/>
      </w:pPr>
      <w:r>
        <w:rPr>
          <w:rFonts w:ascii="Times New Roman" w:cs="Times New Roman" w:eastAsia="Times New Roman" w:hAnsi="Times New Roman"/>
          <w:b/>
          <w:bCs/>
          <w:sz w:val="22"/>
          <w:szCs w:val="22"/>
        </w:rPr>
        <w:t xml:space="preserve">4.4 The Physical Basis for Equivalence</w:t>
      </w:r>
    </w:p>
    <w:p>
      <w:pPr>
        <w:spacing w:after="120" w:line="276"/>
        <w:jc w:val="both"/>
      </w:pPr>
      <w:r>
        <w:rPr>
          <w:rFonts w:ascii="Times New Roman" w:cs="Times New Roman" w:eastAsia="Times New Roman" w:hAnsi="Times New Roman"/>
          <w:sz w:val="20"/>
          <w:szCs w:val="20"/>
        </w:rPr>
        <w:t xml:space="preserve">The fundamental reason the algorithms cannot distinguish room resonances from feedback is that both are </w:t>
      </w:r>
      <w:r>
        <w:rPr>
          <w:rFonts w:ascii="Times New Roman" w:cs="Times New Roman" w:eastAsia="Times New Roman" w:hAnsi="Times New Roman"/>
          <w:i/>
          <w:iCs/>
          <w:sz w:val="20"/>
          <w:szCs w:val="20"/>
        </w:rPr>
        <w:t xml:space="preserve">self-sustaining narrowband oscillations</w:t>
      </w:r>
      <w:r>
        <w:rPr>
          <w:rFonts w:ascii="Times New Roman" w:cs="Times New Roman" w:eastAsia="Times New Roman" w:hAnsi="Times New Roman"/>
          <w:sz w:val="20"/>
          <w:szCs w:val="20"/>
        </w:rPr>
        <w:t xml:space="preserve">. Acoustic feedback is sustained by the electroacoustic loop (mic → amp → speaker → air → mic). Room resonances are sustained by the acoustic loop (wall → air → wall). In both cases, energy accumulates at frequencies where constructive interference occurs, producing persistent spectral peaks with high Q factors, stable magnitude, and stable phase.</w:t>
      </w:r>
    </w:p>
    <w:p>
      <w:pPr>
        <w:spacing w:after="120" w:line="276"/>
        <w:jc w:val="both"/>
      </w:pPr>
      <w:r>
        <w:rPr>
          <w:rFonts w:ascii="Times New Roman" w:cs="Times New Roman" w:eastAsia="Times New Roman" w:hAnsi="Times New Roman"/>
          <w:sz w:val="20"/>
          <w:szCs w:val="20"/>
        </w:rPr>
        <w:t xml:space="preserve">The sustaining mechanism is </w:t>
      </w:r>
      <w:r>
        <w:rPr>
          <w:rFonts w:ascii="Times New Roman" w:cs="Times New Roman" w:eastAsia="Times New Roman" w:hAnsi="Times New Roman"/>
          <w:b/>
          <w:bCs/>
          <w:sz w:val="20"/>
          <w:szCs w:val="20"/>
        </w:rPr>
        <w:t xml:space="preserve">invisible to spectral analysis</w:t>
      </w:r>
      <w:r>
        <w:rPr>
          <w:rFonts w:ascii="Times New Roman" w:cs="Times New Roman" w:eastAsia="Times New Roman" w:hAnsi="Times New Roman"/>
          <w:sz w:val="20"/>
          <w:szCs w:val="20"/>
        </w:rPr>
        <w:t xml:space="preserve">. A spectrum analyzer observes only the peak’s magnitude, phase, persistence, spectral context, and harmonic structure — all of which are identical for both phenomena. The distinction exists only in the </w:t>
      </w:r>
      <w:r>
        <w:rPr>
          <w:rFonts w:ascii="Times New Roman" w:cs="Times New Roman" w:eastAsia="Times New Roman" w:hAnsi="Times New Roman"/>
          <w:i/>
          <w:iCs/>
          <w:sz w:val="20"/>
          <w:szCs w:val="20"/>
        </w:rPr>
        <w:t xml:space="preserve">causal mechanism</w:t>
      </w:r>
      <w:r>
        <w:rPr>
          <w:rFonts w:ascii="Times New Roman" w:cs="Times New Roman" w:eastAsia="Times New Roman" w:hAnsi="Times New Roman"/>
          <w:sz w:val="20"/>
          <w:szCs w:val="20"/>
        </w:rPr>
        <w:t xml:space="preserve">, which cannot be inferred from a single-point spectral measurement.</w:t>
      </w:r>
    </w:p>
    <w:p>
      <w:pPr>
        <w:spacing w:after="120" w:before="240"/>
      </w:pPr>
      <w:r>
        <w:rPr>
          <w:rFonts w:ascii="Times New Roman" w:cs="Times New Roman" w:eastAsia="Times New Roman" w:hAnsi="Times New Roman"/>
          <w:b/>
          <w:bCs/>
          <w:sz w:val="24"/>
          <w:szCs w:val="24"/>
        </w:rPr>
        <w:t xml:space="preserve">5. MATHEMATICAL ANALYSIS</w:t>
      </w:r>
    </w:p>
    <w:p>
      <w:pPr>
        <w:spacing w:after="100" w:before="200"/>
      </w:pPr>
      <w:r>
        <w:rPr>
          <w:rFonts w:ascii="Times New Roman" w:cs="Times New Roman" w:eastAsia="Times New Roman" w:hAnsi="Times New Roman"/>
          <w:b/>
          <w:bCs/>
          <w:sz w:val="22"/>
          <w:szCs w:val="22"/>
        </w:rPr>
        <w:t xml:space="preserve">5.1 Spectral Signature Equivalence Theorem</w:t>
      </w:r>
    </w:p>
    <w:p>
      <w:pPr>
        <w:spacing w:after="120" w:line="276"/>
        <w:jc w:val="both"/>
      </w:pPr>
      <w:r>
        <w:rPr>
          <w:rFonts w:ascii="Times New Roman" w:cs="Times New Roman" w:eastAsia="Times New Roman" w:hAnsi="Times New Roman"/>
          <w:sz w:val="20"/>
          <w:szCs w:val="20"/>
        </w:rPr>
        <w:t xml:space="preserve">Define the spectral signature vector for a detected peak as:</w:t>
      </w:r>
    </w:p>
    <w:p>
      <w:pPr>
        <w:spacing w:after="120" w:before="120"/>
        <w:jc w:val="center"/>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S</w:t>
      </w:r>
      <w:r>
        <w:rPr>
          <w:rFonts w:ascii="Times New Roman" w:cs="Times New Roman" w:eastAsia="Times New Roman" w:hAnsi="Times New Roman"/>
          <w:sz w:val="20"/>
          <w:szCs w:val="20"/>
        </w:rPr>
        <w:t xml:space="preserve"> = [MSD,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vertAlign w:val="subscript"/>
        </w:rPr>
        <w:t xml:space="preserve">φ</w:t>
      </w:r>
      <w:r>
        <w:rPr>
          <w:rFonts w:ascii="Times New Roman" w:cs="Times New Roman" w:eastAsia="Times New Roman" w:hAnsi="Times New Roman"/>
          <w:sz w:val="20"/>
          <w:szCs w:val="20"/>
        </w:rPr>
        <w:t xml:space="preserve">, SF,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vertAlign w:val="subscript"/>
        </w:rPr>
        <w:t xml:space="preserve">comb</w:t>
      </w:r>
      <w:r>
        <w:rPr>
          <w:rFonts w:ascii="Times New Roman" w:cs="Times New Roman" w:eastAsia="Times New Roman" w:hAnsi="Times New Roman"/>
          <w:sz w:val="20"/>
          <w:szCs w:val="20"/>
        </w:rPr>
        <w:t xml:space="preserve">, IHR, PTMR]</w:t>
      </w:r>
      <w:r>
        <w:rPr>
          <w:rFonts w:ascii="Times New Roman" w:cs="Times New Roman" w:eastAsia="Times New Roman" w:hAnsi="Times New Roman"/>
          <w:sz w:val="20"/>
          <w:szCs w:val="20"/>
        </w:rPr>
        <w:t xml:space="preserve">    (16)</w:t>
      </w:r>
    </w:p>
    <w:p>
      <w:pPr>
        <w:spacing w:after="120" w:line="276"/>
        <w:jc w:val="both"/>
      </w:pPr>
      <w:r>
        <w:rPr>
          <w:rFonts w:ascii="Times New Roman" w:cs="Times New Roman" w:eastAsia="Times New Roman" w:hAnsi="Times New Roman"/>
          <w:b/>
          <w:bCs/>
          <w:sz w:val="20"/>
          <w:szCs w:val="20"/>
        </w:rPr>
        <w:t xml:space="preserve">Theorem (Spectral Signature Equivalence). </w:t>
      </w:r>
      <w:r>
        <w:rPr>
          <w:rFonts w:ascii="Times New Roman" w:cs="Times New Roman" w:eastAsia="Times New Roman" w:hAnsi="Times New Roman"/>
          <w:i/>
          <w:iCs/>
          <w:sz w:val="20"/>
          <w:szCs w:val="20"/>
        </w:rPr>
        <w:t xml:space="preserve">For any isolated, persistent, narrowband spectral peak with Q &gt; 10 and persistence exceeding the minimum frame threshold, the spectral signature vectors for acoustic feedback </w:t>
      </w:r>
      <w:r>
        <w:rPr>
          <w:rFonts w:ascii="Times New Roman" w:cs="Times New Roman" w:eastAsia="Times New Roman" w:hAnsi="Times New Roman"/>
          <w:b/>
          <w:bCs/>
          <w:sz w:val="20"/>
          <w:szCs w:val="20"/>
        </w:rPr>
        <w:t xml:space="preserve">S</w:t>
      </w:r>
      <w:r>
        <w:rPr>
          <w:rFonts w:ascii="Times New Roman" w:cs="Times New Roman" w:eastAsia="Times New Roman" w:hAnsi="Times New Roman"/>
          <w:sz w:val="20"/>
          <w:szCs w:val="20"/>
          <w:vertAlign w:val="subscript"/>
        </w:rPr>
        <w:t xml:space="preserve">fb</w:t>
      </w:r>
      <w:r>
        <w:rPr>
          <w:rFonts w:ascii="Times New Roman" w:cs="Times New Roman" w:eastAsia="Times New Roman" w:hAnsi="Times New Roman"/>
          <w:i/>
          <w:iCs/>
          <w:sz w:val="20"/>
          <w:szCs w:val="20"/>
        </w:rPr>
        <w:t xml:space="preserve"> and room resonance </w:t>
      </w:r>
      <w:r>
        <w:rPr>
          <w:rFonts w:ascii="Times New Roman" w:cs="Times New Roman" w:eastAsia="Times New Roman" w:hAnsi="Times New Roman"/>
          <w:b/>
          <w:bCs/>
          <w:sz w:val="20"/>
          <w:szCs w:val="20"/>
        </w:rPr>
        <w:t xml:space="preserve">S</w:t>
      </w:r>
      <w:r>
        <w:rPr>
          <w:rFonts w:ascii="Times New Roman" w:cs="Times New Roman" w:eastAsia="Times New Roman" w:hAnsi="Times New Roman"/>
          <w:sz w:val="20"/>
          <w:szCs w:val="20"/>
          <w:vertAlign w:val="subscript"/>
        </w:rPr>
        <w:t xml:space="preserve">rm</w:t>
      </w:r>
      <w:r>
        <w:rPr>
          <w:rFonts w:ascii="Times New Roman" w:cs="Times New Roman" w:eastAsia="Times New Roman" w:hAnsi="Times New Roman"/>
          <w:i/>
          <w:iCs/>
          <w:sz w:val="20"/>
          <w:szCs w:val="20"/>
        </w:rPr>
        <w:t xml:space="preserve"> satisfy:</w:t>
      </w:r>
    </w:p>
    <w:p>
      <w:pPr>
        <w:spacing w:after="120" w:before="120"/>
        <w:jc w:val="center"/>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t>
      </w:r>
      <w:r>
        <w:rPr>
          <w:rFonts w:ascii="Times New Roman" w:cs="Times New Roman" w:eastAsia="Times New Roman" w:hAnsi="Times New Roman"/>
          <w:b/>
          <w:bCs/>
          <w:sz w:val="20"/>
          <w:szCs w:val="20"/>
        </w:rPr>
        <w:t xml:space="preserve">S</w:t>
      </w:r>
      <w:r>
        <w:rPr>
          <w:rFonts w:ascii="Times New Roman" w:cs="Times New Roman" w:eastAsia="Times New Roman" w:hAnsi="Times New Roman"/>
          <w:sz w:val="20"/>
          <w:szCs w:val="20"/>
          <w:vertAlign w:val="subscript"/>
        </w:rPr>
        <w:t xml:space="preserve">fb</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S</w:t>
      </w:r>
      <w:r>
        <w:rPr>
          <w:rFonts w:ascii="Times New Roman" w:cs="Times New Roman" w:eastAsia="Times New Roman" w:hAnsi="Times New Roman"/>
          <w:sz w:val="20"/>
          <w:szCs w:val="20"/>
          <w:vertAlign w:val="subscript"/>
        </w:rPr>
        <w:t xml:space="preserve">rm</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 0</w:t>
      </w:r>
      <w:r>
        <w:rPr>
          <w:rFonts w:ascii="Times New Roman" w:cs="Times New Roman" w:eastAsia="Times New Roman" w:hAnsi="Times New Roman"/>
          <w:sz w:val="20"/>
          <w:szCs w:val="20"/>
        </w:rPr>
        <w:t xml:space="preserve">    (17)</w:t>
      </w:r>
    </w:p>
    <w:p>
      <w:pPr>
        <w:spacing w:after="120" w:line="276"/>
        <w:jc w:val="both"/>
      </w:pPr>
      <w:r>
        <w:rPr>
          <w:rFonts w:ascii="Times New Roman" w:cs="Times New Roman" w:eastAsia="Times New Roman" w:hAnsi="Times New Roman"/>
          <w:i/>
          <w:iCs/>
          <w:sz w:val="20"/>
          <w:szCs w:val="20"/>
        </w:rPr>
        <w:t xml:space="preserve">That is, room modes lie in the kernel of the feedback detection function.</w:t>
      </w:r>
    </w:p>
    <w:p>
      <w:pPr>
        <w:spacing w:after="120" w:line="276"/>
        <w:jc w:val="both"/>
      </w:pPr>
      <w:r>
        <w:rPr>
          <w:rFonts w:ascii="Times New Roman" w:cs="Times New Roman" w:eastAsia="Times New Roman" w:hAnsi="Times New Roman"/>
          <w:b/>
          <w:bCs/>
          <w:sz w:val="20"/>
          <w:szCs w:val="20"/>
        </w:rPr>
        <w:t xml:space="preserve">Proof sketch. </w:t>
      </w:r>
      <w:r>
        <w:rPr>
          <w:rFonts w:ascii="Times New Roman" w:cs="Times New Roman" w:eastAsia="Times New Roman" w:hAnsi="Times New Roman"/>
          <w:sz w:val="20"/>
          <w:szCs w:val="20"/>
        </w:rPr>
        <w:t xml:space="preserve">Consider each component: (1) MSD: both phenomena produce constant magnitude at the peak frequency, so MSD(</w:t>
      </w:r>
      <w:r>
        <w:rPr>
          <w:rFonts w:ascii="Times New Roman" w:cs="Times New Roman" w:eastAsia="Times New Roman" w:hAnsi="Times New Roman"/>
          <w:b/>
          <w:bCs/>
          <w:sz w:val="20"/>
          <w:szCs w:val="20"/>
        </w:rPr>
        <w:t xml:space="preserve">S</w:t>
      </w:r>
      <w:r>
        <w:rPr>
          <w:rFonts w:ascii="Times New Roman" w:cs="Times New Roman" w:eastAsia="Times New Roman" w:hAnsi="Times New Roman"/>
          <w:sz w:val="20"/>
          <w:szCs w:val="20"/>
          <w:vertAlign w:val="subscript"/>
        </w:rPr>
        <w:t xml:space="preserve">fb</w:t>
      </w:r>
      <w:r>
        <w:rPr>
          <w:rFonts w:ascii="Times New Roman" w:cs="Times New Roman" w:eastAsia="Times New Roman" w:hAnsi="Times New Roman"/>
          <w:sz w:val="20"/>
          <w:szCs w:val="20"/>
        </w:rPr>
        <w:t xml:space="preserve">) ≈ MSD(</w:t>
      </w:r>
      <w:r>
        <w:rPr>
          <w:rFonts w:ascii="Times New Roman" w:cs="Times New Roman" w:eastAsia="Times New Roman" w:hAnsi="Times New Roman"/>
          <w:b/>
          <w:bCs/>
          <w:sz w:val="20"/>
          <w:szCs w:val="20"/>
        </w:rPr>
        <w:t xml:space="preserve">S</w:t>
      </w:r>
      <w:r>
        <w:rPr>
          <w:rFonts w:ascii="Times New Roman" w:cs="Times New Roman" w:eastAsia="Times New Roman" w:hAnsi="Times New Roman"/>
          <w:sz w:val="20"/>
          <w:szCs w:val="20"/>
          <w:vertAlign w:val="subscript"/>
        </w:rPr>
        <w:t xml:space="preserve">rm</w:t>
      </w:r>
      <w:r>
        <w:rPr>
          <w:rFonts w:ascii="Times New Roman" w:cs="Times New Roman" w:eastAsia="Times New Roman" w:hAnsi="Times New Roman"/>
          <w:sz w:val="20"/>
          <w:szCs w:val="20"/>
        </w:rPr>
        <w:t xml:space="preserve">) ≈ 0. (2) Phase coherence: both produce stable phase progression at a fixed frequency, so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vertAlign w:val="subscript"/>
        </w:rPr>
        <w:t xml:space="preserve">φ</w:t>
      </w:r>
      <w:r>
        <w:rPr>
          <w:rFonts w:ascii="Times New Roman" w:cs="Times New Roman" w:eastAsia="Times New Roman" w:hAnsi="Times New Roman"/>
          <w:sz w:val="20"/>
          <w:szCs w:val="20"/>
        </w:rPr>
        <w:t xml:space="preserve">(fb) ≈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vertAlign w:val="subscript"/>
        </w:rPr>
        <w:t xml:space="preserve">φ</w:t>
      </w:r>
      <w:r>
        <w:rPr>
          <w:rFonts w:ascii="Times New Roman" w:cs="Times New Roman" w:eastAsia="Times New Roman" w:hAnsi="Times New Roman"/>
          <w:sz w:val="20"/>
          <w:szCs w:val="20"/>
        </w:rPr>
        <w:t xml:space="preserve">(rm) ≈ 1. (3) Spectral flatness: both are narrowband, so SF ≈ 0 for both. (4) Comb: axial room modes at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2</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3</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satisfy comb spacing criteria, as does feedback with path-length-determined spacing. (5) IHR: both have clean spectra, so IHR ≈ 0. (6) PTMR: both produce sharp, isolated peaks, so PTMR</w:t>
      </w:r>
      <w:r>
        <w:rPr>
          <w:rFonts w:ascii="Times New Roman" w:cs="Times New Roman" w:eastAsia="Times New Roman" w:hAnsi="Times New Roman"/>
          <w:sz w:val="20"/>
          <w:szCs w:val="20"/>
          <w:vertAlign w:val="subscript"/>
        </w:rPr>
        <w:t xml:space="preserve">dB</w:t>
      </w:r>
      <w:r>
        <w:rPr>
          <w:rFonts w:ascii="Times New Roman" w:cs="Times New Roman" w:eastAsia="Times New Roman" w:hAnsi="Times New Roman"/>
          <w:sz w:val="20"/>
          <w:szCs w:val="20"/>
        </w:rPr>
        <w:t xml:space="preserve"> &gt;&gt; 15 for both. □</w:t>
      </w:r>
    </w:p>
    <w:p>
      <w:pPr>
        <w:spacing w:after="100" w:before="200"/>
      </w:pPr>
      <w:r>
        <w:rPr>
          <w:rFonts w:ascii="Times New Roman" w:cs="Times New Roman" w:eastAsia="Times New Roman" w:hAnsi="Times New Roman"/>
          <w:b/>
          <w:bCs/>
          <w:sz w:val="22"/>
          <w:szCs w:val="22"/>
        </w:rPr>
        <w:t xml:space="preserve">5.2 Conditions for Emergence</w:t>
      </w:r>
    </w:p>
    <w:p>
      <w:pPr>
        <w:spacing w:after="120" w:line="276"/>
        <w:jc w:val="both"/>
      </w:pPr>
      <w:r>
        <w:rPr>
          <w:rFonts w:ascii="Times New Roman" w:cs="Times New Roman" w:eastAsia="Times New Roman" w:hAnsi="Times New Roman"/>
          <w:sz w:val="20"/>
          <w:szCs w:val="20"/>
        </w:rPr>
        <w:t xml:space="preserve">The emergent room analysis behavior manifests when three conditions are jointly satisfied:</w:t>
      </w:r>
    </w:p>
    <w:p>
      <w:pPr>
        <w:spacing w:after="120" w:line="276"/>
        <w:jc w:val="both"/>
      </w:pPr>
      <w:r>
        <w:rPr>
          <w:rFonts w:ascii="Times New Roman" w:cs="Times New Roman" w:eastAsia="Times New Roman" w:hAnsi="Times New Roman"/>
          <w:sz w:val="20"/>
          <w:szCs w:val="20"/>
        </w:rPr>
        <w:t xml:space="preserve">(i) </w:t>
      </w:r>
      <w:r>
        <w:rPr>
          <w:rFonts w:ascii="Times New Roman" w:cs="Times New Roman" w:eastAsia="Times New Roman" w:hAnsi="Times New Roman"/>
          <w:b/>
          <w:bCs/>
          <w:sz w:val="20"/>
          <w:szCs w:val="20"/>
        </w:rPr>
        <w:t xml:space="preserve">Sensitivity exceeds room mode prominence</w:t>
      </w:r>
      <w:r>
        <w:rPr>
          <w:rFonts w:ascii="Times New Roman" w:cs="Times New Roman" w:eastAsia="Times New Roman" w:hAnsi="Times New Roman"/>
          <w:sz w:val="20"/>
          <w:szCs w:val="20"/>
        </w:rPr>
        <w:t xml:space="preserve">: threshold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&lt; prominence of room resonance (typically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8 dB);</w:t>
      </w:r>
    </w:p>
    <w:p>
      <w:pPr>
        <w:spacing w:after="120" w:line="276"/>
        <w:jc w:val="both"/>
      </w:pPr>
      <w:r>
        <w:rPr>
          <w:rFonts w:ascii="Times New Roman" w:cs="Times New Roman" w:eastAsia="Times New Roman" w:hAnsi="Times New Roman"/>
          <w:sz w:val="20"/>
          <w:szCs w:val="20"/>
        </w:rPr>
        <w:t xml:space="preserve">(ii) </w:t>
      </w:r>
      <w:r>
        <w:rPr>
          <w:rFonts w:ascii="Times New Roman" w:cs="Times New Roman" w:eastAsia="Times New Roman" w:hAnsi="Times New Roman"/>
          <w:b/>
          <w:bCs/>
          <w:sz w:val="20"/>
          <w:szCs w:val="20"/>
        </w:rPr>
        <w:t xml:space="preserve">Persistence window is satisfied</w:t>
      </w:r>
      <w:r>
        <w:rPr>
          <w:rFonts w:ascii="Times New Roman" w:cs="Times New Roman" w:eastAsia="Times New Roman" w:hAnsi="Times New Roman"/>
          <w:sz w:val="20"/>
          <w:szCs w:val="20"/>
        </w:rPr>
        <w:t xml:space="preserve">: always true, since room modes are permanent acoustic features;</w:t>
      </w:r>
    </w:p>
    <w:p>
      <w:pPr>
        <w:spacing w:after="120" w:line="276"/>
        <w:jc w:val="both"/>
      </w:pPr>
      <w:r>
        <w:rPr>
          <w:rFonts w:ascii="Times New Roman" w:cs="Times New Roman" w:eastAsia="Times New Roman" w:hAnsi="Times New Roman"/>
          <w:sz w:val="20"/>
          <w:szCs w:val="20"/>
        </w:rPr>
        <w:t xml:space="preserve">(iii) </w:t>
      </w:r>
      <w:r>
        <w:rPr>
          <w:rFonts w:ascii="Times New Roman" w:cs="Times New Roman" w:eastAsia="Times New Roman" w:hAnsi="Times New Roman"/>
          <w:b/>
          <w:bCs/>
          <w:sz w:val="20"/>
          <w:szCs w:val="20"/>
        </w:rPr>
        <w:t xml:space="preserve">Room physics gates are disabled</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roomPreset = 'none'</w:t>
      </w:r>
      <w:r>
        <w:rPr>
          <w:rFonts w:ascii="Times New Roman" w:cs="Times New Roman" w:eastAsia="Times New Roman" w:hAnsi="Times New Roman"/>
          <w:sz w:val="20"/>
          <w:szCs w:val="20"/>
        </w:rPr>
        <w:t xml:space="preserve"> (the default configuration).</w:t>
      </w:r>
    </w:p>
    <w:p>
      <w:pPr>
        <w:spacing w:after="100" w:before="200"/>
      </w:pPr>
      <w:r>
        <w:rPr>
          <w:rFonts w:ascii="Times New Roman" w:cs="Times New Roman" w:eastAsia="Times New Roman" w:hAnsi="Times New Roman"/>
          <w:b/>
          <w:bCs/>
          <w:sz w:val="22"/>
          <w:szCs w:val="22"/>
        </w:rPr>
        <w:t xml:space="preserve">5.3 Information Content of Room Mode Advisories</w:t>
      </w:r>
    </w:p>
    <w:p>
      <w:pPr>
        <w:spacing w:after="120" w:line="276"/>
        <w:jc w:val="both"/>
      </w:pPr>
      <w:r>
        <w:rPr>
          <w:rFonts w:ascii="Times New Roman" w:cs="Times New Roman" w:eastAsia="Times New Roman" w:hAnsi="Times New Roman"/>
          <w:sz w:val="20"/>
          <w:szCs w:val="20"/>
        </w:rPr>
        <w:t xml:space="preserve">Each advisory generated by the system contains: frequency (Hz), recommended cut depth (dB), and Q factor — precisely a parametric equalizer filter specification. When the system operates on room resonances rather than feedback, the collection of generated advisories constitutes a </w:t>
      </w:r>
      <w:r>
        <w:rPr>
          <w:rFonts w:ascii="Times New Roman" w:cs="Times New Roman" w:eastAsia="Times New Roman" w:hAnsi="Times New Roman"/>
          <w:b/>
          <w:bCs/>
          <w:sz w:val="20"/>
          <w:szCs w:val="20"/>
        </w:rPr>
        <w:t xml:space="preserve">room correction EQ profile</w:t>
      </w:r>
      <w:r>
        <w:rPr>
          <w:rFonts w:ascii="Times New Roman" w:cs="Times New Roman" w:eastAsia="Times New Roman" w:hAnsi="Times New Roman"/>
          <w:sz w:val="20"/>
          <w:szCs w:val="20"/>
        </w:rPr>
        <w:t xml:space="preserve">. This is functionally equivalent to the output of traditional room analysis tools: Smaart produces a transfer function from which correction filters are derived [8]; REW generates parametric EQ settings from room measurements [9]; Dirac Live computes room correction filter coefficients [10]. KTR produces this same information class without test signals or calibrated microphones.</w:t>
      </w:r>
    </w:p>
    <w:p>
      <w:r>
        <w:br w:type="page"/>
      </w:r>
    </w:p>
    <w:p>
      <w:pPr>
        <w:spacing w:after="120" w:before="240"/>
      </w:pPr>
      <w:r>
        <w:rPr>
          <w:rFonts w:ascii="Times New Roman" w:cs="Times New Roman" w:eastAsia="Times New Roman" w:hAnsi="Times New Roman"/>
          <w:b/>
          <w:bCs/>
          <w:sz w:val="24"/>
          <w:szCs w:val="24"/>
        </w:rPr>
        <w:t xml:space="preserve">6. COMPARISON WITH TRADITIONAL ROOM 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500"/>
        <w:gridCol w:w="1500"/>
        <w:gridCol w:w="1500"/>
      </w:tblGrid>
      <w:tr>
        <w:trPr>
          <w:tblHeader/>
        </w:trPr>
        <w:tc>
          <w:tcPr>
            <w:tcW w:type="dxa" w:w="2100"/>
            <w:tcBorders>
              <w:top w:val="single" w:color="999999" w:sz="1"/>
              <w:left w:val="single" w:color="999999" w:sz="1"/>
              <w:bottom w:val="single" w:color="999999" w:sz="1"/>
              <w:right w:val="single" w:color="999999" w:sz="1"/>
            </w:tcBorders>
            <w:shd w:fill="E8E8E8" w:val="clear"/>
            <w:vAlign w:val="center"/>
          </w:tcPr>
          <w:p>
            <w:pPr>
              <w:spacing w:after="40" w:before="40"/>
              <w:jc w:val="center"/>
            </w:pPr>
            <w:r>
              <w:rPr>
                <w:rFonts w:ascii="Times New Roman" w:cs="Times New Roman" w:eastAsia="Times New Roman" w:hAnsi="Times New Roman"/>
                <w:b/>
                <w:bCs/>
                <w:sz w:val="18"/>
                <w:szCs w:val="18"/>
              </w:rPr>
              <w:t xml:space="preserve">Feature</w:t>
            </w:r>
          </w:p>
        </w:tc>
        <w:tc>
          <w:tcPr>
            <w:tcW w:type="dxa" w:w="1500"/>
            <w:tcBorders>
              <w:top w:val="single" w:color="999999" w:sz="1"/>
              <w:left w:val="single" w:color="999999" w:sz="1"/>
              <w:bottom w:val="single" w:color="999999" w:sz="1"/>
              <w:right w:val="single" w:color="999999" w:sz="1"/>
            </w:tcBorders>
            <w:shd w:fill="E8E8E8" w:val="clear"/>
            <w:vAlign w:val="center"/>
          </w:tcPr>
          <w:p>
            <w:pPr>
              <w:spacing w:after="40" w:before="40"/>
              <w:jc w:val="center"/>
            </w:pPr>
            <w:r>
              <w:rPr>
                <w:rFonts w:ascii="Times New Roman" w:cs="Times New Roman" w:eastAsia="Times New Roman" w:hAnsi="Times New Roman"/>
                <w:b/>
                <w:bCs/>
                <w:sz w:val="18"/>
                <w:szCs w:val="18"/>
              </w:rPr>
              <w:t xml:space="preserve">KTR (Emergent)</w:t>
            </w:r>
          </w:p>
        </w:tc>
        <w:tc>
          <w:tcPr>
            <w:tcW w:type="dxa" w:w="1500"/>
            <w:tcBorders>
              <w:top w:val="single" w:color="999999" w:sz="1"/>
              <w:left w:val="single" w:color="999999" w:sz="1"/>
              <w:bottom w:val="single" w:color="999999" w:sz="1"/>
              <w:right w:val="single" w:color="999999" w:sz="1"/>
            </w:tcBorders>
            <w:shd w:fill="E8E8E8" w:val="clear"/>
            <w:vAlign w:val="center"/>
          </w:tcPr>
          <w:p>
            <w:pPr>
              <w:spacing w:after="40" w:before="40"/>
              <w:jc w:val="center"/>
            </w:pPr>
            <w:r>
              <w:rPr>
                <w:rFonts w:ascii="Times New Roman" w:cs="Times New Roman" w:eastAsia="Times New Roman" w:hAnsi="Times New Roman"/>
                <w:b/>
                <w:bCs/>
                <w:sz w:val="18"/>
                <w:szCs w:val="18"/>
              </w:rPr>
              <w:t xml:space="preserve">Smaart [8]</w:t>
            </w:r>
          </w:p>
        </w:tc>
        <w:tc>
          <w:tcPr>
            <w:tcW w:type="dxa" w:w="1500"/>
            <w:tcBorders>
              <w:top w:val="single" w:color="999999" w:sz="1"/>
              <w:left w:val="single" w:color="999999" w:sz="1"/>
              <w:bottom w:val="single" w:color="999999" w:sz="1"/>
              <w:right w:val="single" w:color="999999" w:sz="1"/>
            </w:tcBorders>
            <w:shd w:fill="E8E8E8" w:val="clear"/>
            <w:vAlign w:val="center"/>
          </w:tcPr>
          <w:p>
            <w:pPr>
              <w:spacing w:after="40" w:before="40"/>
              <w:jc w:val="center"/>
            </w:pPr>
            <w:r>
              <w:rPr>
                <w:rFonts w:ascii="Times New Roman" w:cs="Times New Roman" w:eastAsia="Times New Roman" w:hAnsi="Times New Roman"/>
                <w:b/>
                <w:bCs/>
                <w:sz w:val="18"/>
                <w:szCs w:val="18"/>
              </w:rPr>
              <w:t xml:space="preserve">REW [9]</w:t>
            </w:r>
          </w:p>
        </w:tc>
        <w:tc>
          <w:tcPr>
            <w:tcW w:type="dxa" w:w="1500"/>
            <w:tcBorders>
              <w:top w:val="single" w:color="999999" w:sz="1"/>
              <w:left w:val="single" w:color="999999" w:sz="1"/>
              <w:bottom w:val="single" w:color="999999" w:sz="1"/>
              <w:right w:val="single" w:color="999999" w:sz="1"/>
            </w:tcBorders>
            <w:shd w:fill="E8E8E8" w:val="clear"/>
            <w:vAlign w:val="center"/>
          </w:tcPr>
          <w:p>
            <w:pPr>
              <w:spacing w:after="40" w:before="40"/>
              <w:jc w:val="center"/>
            </w:pPr>
            <w:r>
              <w:rPr>
                <w:rFonts w:ascii="Times New Roman" w:cs="Times New Roman" w:eastAsia="Times New Roman" w:hAnsi="Times New Roman"/>
                <w:b/>
                <w:bCs/>
                <w:sz w:val="18"/>
                <w:szCs w:val="18"/>
              </w:rPr>
              <w:t xml:space="preserve">Dirac Live [10]</w:t>
            </w:r>
          </w:p>
        </w:tc>
      </w:tr>
      <w:tr>
        <w:tc>
          <w:tcPr>
            <w:tcW w:type="dxa" w:w="2100"/>
            <w:tcBorders>
              <w:top w:val="single" w:color="999999" w:sz="1"/>
              <w:left w:val="single" w:color="999999" w:sz="1"/>
              <w:bottom w:val="single" w:color="999999" w:sz="1"/>
              <w:right w:val="single" w:color="999999" w:sz="1"/>
            </w:tcBorders>
            <w:vAlign w:val="center"/>
          </w:tcPr>
          <w:p>
            <w:pPr>
              <w:spacing w:after="30" w:before="30"/>
              <w:jc w:val="left"/>
            </w:pPr>
            <w:r>
              <w:rPr>
                <w:rFonts w:ascii="Times New Roman" w:cs="Times New Roman" w:eastAsia="Times New Roman" w:hAnsi="Times New Roman"/>
                <w:sz w:val="18"/>
                <w:szCs w:val="18"/>
              </w:rPr>
              <w:t xml:space="preserve">Test signal req.</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No (ambient)</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Yes (pink noise)</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Yes (sweep)</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Yes (sweep)</w:t>
            </w:r>
          </w:p>
        </w:tc>
      </w:tr>
      <w:tr>
        <w:tc>
          <w:tcPr>
            <w:tcW w:type="dxa" w:w="2100"/>
            <w:tcBorders>
              <w:top w:val="single" w:color="999999" w:sz="1"/>
              <w:left w:val="single" w:color="999999" w:sz="1"/>
              <w:bottom w:val="single" w:color="999999" w:sz="1"/>
              <w:right w:val="single" w:color="999999" w:sz="1"/>
            </w:tcBorders>
            <w:vAlign w:val="center"/>
          </w:tcPr>
          <w:p>
            <w:pPr>
              <w:spacing w:after="30" w:before="30"/>
              <w:jc w:val="left"/>
            </w:pPr>
            <w:r>
              <w:rPr>
                <w:rFonts w:ascii="Times New Roman" w:cs="Times New Roman" w:eastAsia="Times New Roman" w:hAnsi="Times New Roman"/>
                <w:sz w:val="18"/>
                <w:szCs w:val="18"/>
              </w:rPr>
              <w:t xml:space="preserve">Cal. mic req.</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No</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Yes</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Yes</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Yes</w:t>
            </w:r>
          </w:p>
        </w:tc>
      </w:tr>
      <w:tr>
        <w:tc>
          <w:tcPr>
            <w:tcW w:type="dxa" w:w="2100"/>
            <w:tcBorders>
              <w:top w:val="single" w:color="999999" w:sz="1"/>
              <w:left w:val="single" w:color="999999" w:sz="1"/>
              <w:bottom w:val="single" w:color="999999" w:sz="1"/>
              <w:right w:val="single" w:color="999999" w:sz="1"/>
            </w:tcBorders>
            <w:vAlign w:val="center"/>
          </w:tcPr>
          <w:p>
            <w:pPr>
              <w:spacing w:after="30" w:before="30"/>
              <w:jc w:val="left"/>
            </w:pPr>
            <w:r>
              <w:rPr>
                <w:rFonts w:ascii="Times New Roman" w:cs="Times New Roman" w:eastAsia="Times New Roman" w:hAnsi="Times New Roman"/>
                <w:sz w:val="18"/>
                <w:szCs w:val="18"/>
              </w:rPr>
              <w:t xml:space="preserve">Real-time</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Yes (50 fps)</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Yes</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No (post-hoc)</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No (post-hoc)</w:t>
            </w:r>
          </w:p>
        </w:tc>
      </w:tr>
      <w:tr>
        <w:tc>
          <w:tcPr>
            <w:tcW w:type="dxa" w:w="2100"/>
            <w:tcBorders>
              <w:top w:val="single" w:color="999999" w:sz="1"/>
              <w:left w:val="single" w:color="999999" w:sz="1"/>
              <w:bottom w:val="single" w:color="999999" w:sz="1"/>
              <w:right w:val="single" w:color="999999" w:sz="1"/>
            </w:tcBorders>
            <w:vAlign w:val="center"/>
          </w:tcPr>
          <w:p>
            <w:pPr>
              <w:spacing w:after="30" w:before="30"/>
              <w:jc w:val="left"/>
            </w:pPr>
            <w:r>
              <w:rPr>
                <w:rFonts w:ascii="Times New Roman" w:cs="Times New Roman" w:eastAsia="Times New Roman" w:hAnsi="Times New Roman"/>
                <w:sz w:val="18"/>
                <w:szCs w:val="18"/>
              </w:rPr>
              <w:t xml:space="preserve">Audience OK</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Yes</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Difficult</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No</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No</w:t>
            </w:r>
          </w:p>
        </w:tc>
      </w:tr>
      <w:tr>
        <w:tc>
          <w:tcPr>
            <w:tcW w:type="dxa" w:w="2100"/>
            <w:tcBorders>
              <w:top w:val="single" w:color="999999" w:sz="1"/>
              <w:left w:val="single" w:color="999999" w:sz="1"/>
              <w:bottom w:val="single" w:color="999999" w:sz="1"/>
              <w:right w:val="single" w:color="999999" w:sz="1"/>
            </w:tcBorders>
            <w:vAlign w:val="center"/>
          </w:tcPr>
          <w:p>
            <w:pPr>
              <w:spacing w:after="30" w:before="30"/>
              <w:jc w:val="left"/>
            </w:pPr>
            <w:r>
              <w:rPr>
                <w:rFonts w:ascii="Times New Roman" w:cs="Times New Roman" w:eastAsia="Times New Roman" w:hAnsi="Times New Roman"/>
                <w:sz w:val="18"/>
                <w:szCs w:val="18"/>
              </w:rPr>
              <w:t xml:space="preserve">Setup time</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0 min</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15–30 min</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10–20 min</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15–30 min</w:t>
            </w:r>
          </w:p>
        </w:tc>
      </w:tr>
      <w:tr>
        <w:tc>
          <w:tcPr>
            <w:tcW w:type="dxa" w:w="2100"/>
            <w:tcBorders>
              <w:top w:val="single" w:color="999999" w:sz="1"/>
              <w:left w:val="single" w:color="999999" w:sz="1"/>
              <w:bottom w:val="single" w:color="999999" w:sz="1"/>
              <w:right w:val="single" w:color="999999" w:sz="1"/>
            </w:tcBorders>
            <w:vAlign w:val="center"/>
          </w:tcPr>
          <w:p>
            <w:pPr>
              <w:spacing w:after="30" w:before="30"/>
              <w:jc w:val="left"/>
            </w:pPr>
            <w:r>
              <w:rPr>
                <w:rFonts w:ascii="Times New Roman" w:cs="Times New Roman" w:eastAsia="Times New Roman" w:hAnsi="Times New Roman"/>
                <w:sz w:val="18"/>
                <w:szCs w:val="18"/>
              </w:rPr>
              <w:t xml:space="preserve">Freq. resolution</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2.93–5.86 Hz</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Configurable</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Configurable</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Configurable</w:t>
            </w:r>
          </w:p>
        </w:tc>
      </w:tr>
      <w:tr>
        <w:tc>
          <w:tcPr>
            <w:tcW w:type="dxa" w:w="2100"/>
            <w:tcBorders>
              <w:top w:val="single" w:color="999999" w:sz="1"/>
              <w:left w:val="single" w:color="999999" w:sz="1"/>
              <w:bottom w:val="single" w:color="999999" w:sz="1"/>
              <w:right w:val="single" w:color="999999" w:sz="1"/>
            </w:tcBorders>
            <w:vAlign w:val="center"/>
          </w:tcPr>
          <w:p>
            <w:pPr>
              <w:spacing w:after="30" w:before="30"/>
              <w:jc w:val="left"/>
            </w:pPr>
            <w:r>
              <w:rPr>
                <w:rFonts w:ascii="Times New Roman" w:cs="Times New Roman" w:eastAsia="Times New Roman" w:hAnsi="Times New Roman"/>
                <w:sz w:val="18"/>
                <w:szCs w:val="18"/>
              </w:rPr>
              <w:t xml:space="preserve">Output format</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PEQ rec.</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Transfer fn.</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IR + EQ</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Room correction</w:t>
            </w:r>
          </w:p>
        </w:tc>
      </w:tr>
      <w:tr>
        <w:tc>
          <w:tcPr>
            <w:tcW w:type="dxa" w:w="2100"/>
            <w:tcBorders>
              <w:top w:val="single" w:color="999999" w:sz="1"/>
              <w:left w:val="single" w:color="999999" w:sz="1"/>
              <w:bottom w:val="single" w:color="999999" w:sz="1"/>
              <w:right w:val="single" w:color="999999" w:sz="1"/>
            </w:tcBorders>
            <w:vAlign w:val="center"/>
          </w:tcPr>
          <w:p>
            <w:pPr>
              <w:spacing w:after="30" w:before="30"/>
              <w:jc w:val="left"/>
            </w:pPr>
            <w:r>
              <w:rPr>
                <w:rFonts w:ascii="Times New Roman" w:cs="Times New Roman" w:eastAsia="Times New Roman" w:hAnsi="Times New Roman"/>
                <w:sz w:val="18"/>
                <w:szCs w:val="18"/>
              </w:rPr>
              <w:t xml:space="preserve">Phase response</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No</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Yes</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Yes</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Yes</w:t>
            </w:r>
          </w:p>
        </w:tc>
      </w:tr>
      <w:tr>
        <w:tc>
          <w:tcPr>
            <w:tcW w:type="dxa" w:w="2100"/>
            <w:tcBorders>
              <w:top w:val="single" w:color="999999" w:sz="1"/>
              <w:left w:val="single" w:color="999999" w:sz="1"/>
              <w:bottom w:val="single" w:color="999999" w:sz="1"/>
              <w:right w:val="single" w:color="999999" w:sz="1"/>
            </w:tcBorders>
            <w:vAlign w:val="center"/>
          </w:tcPr>
          <w:p>
            <w:pPr>
              <w:spacing w:after="30" w:before="30"/>
              <w:jc w:val="left"/>
            </w:pPr>
            <w:r>
              <w:rPr>
                <w:rFonts w:ascii="Times New Roman" w:cs="Times New Roman" w:eastAsia="Times New Roman" w:hAnsi="Times New Roman"/>
                <w:sz w:val="18"/>
                <w:szCs w:val="18"/>
              </w:rPr>
              <w:t xml:space="preserve">Cost</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Free (browser)</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$800+</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Free</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Times New Roman" w:cs="Times New Roman" w:eastAsia="Times New Roman" w:hAnsi="Times New Roman"/>
                <w:sz w:val="18"/>
                <w:szCs w:val="18"/>
              </w:rPr>
              <w:t xml:space="preserve">$400+</w:t>
            </w:r>
          </w:p>
        </w:tc>
      </w:tr>
    </w:tbl>
    <w:p>
      <w:pPr>
        <w:spacing w:after="200" w:before="60"/>
        <w:jc w:val="center"/>
      </w:pPr>
      <w:r>
        <w:rPr>
          <w:rFonts w:ascii="Times New Roman" w:cs="Times New Roman" w:eastAsia="Times New Roman" w:hAnsi="Times New Roman"/>
          <w:i/>
          <w:iCs/>
          <w:sz w:val="18"/>
          <w:szCs w:val="18"/>
        </w:rPr>
        <w:t xml:space="preserve">Table 3. Comparison of KTR emergent room analysis with established room measurement systems.</w:t>
      </w:r>
    </w:p>
    <w:p>
      <w:pPr>
        <w:spacing w:after="100" w:before="200"/>
      </w:pPr>
      <w:r>
        <w:rPr>
          <w:rFonts w:ascii="Times New Roman" w:cs="Times New Roman" w:eastAsia="Times New Roman" w:hAnsi="Times New Roman"/>
          <w:b/>
          <w:bCs/>
          <w:sz w:val="22"/>
          <w:szCs w:val="22"/>
        </w:rPr>
        <w:t xml:space="preserve">6.1 Advantages</w:t>
      </w:r>
    </w:p>
    <w:p>
      <w:pPr>
        <w:spacing w:after="120" w:line="276"/>
        <w:jc w:val="both"/>
      </w:pPr>
      <w:r>
        <w:rPr>
          <w:rFonts w:ascii="Times New Roman" w:cs="Times New Roman" w:eastAsia="Times New Roman" w:hAnsi="Times New Roman"/>
          <w:b/>
          <w:bCs/>
          <w:sz w:val="20"/>
          <w:szCs w:val="20"/>
        </w:rPr>
        <w:t xml:space="preserve">Zero-setup operation: </w:t>
      </w:r>
      <w:r>
        <w:rPr>
          <w:rFonts w:ascii="Times New Roman" w:cs="Times New Roman" w:eastAsia="Times New Roman" w:hAnsi="Times New Roman"/>
          <w:sz w:val="20"/>
          <w:szCs w:val="20"/>
        </w:rPr>
        <w:t xml:space="preserve">KTR requires no test signal generator, no calibrated measurement microphone, and no venue clearance. The system operates on whatever ambient sound is present — HVAC noise, audience murmur, rehearsal sound, or environmental noise — as the excitation source. This enables room analysis during sound check with performers present, during audience load-in, or even during performance.</w:t>
      </w:r>
    </w:p>
    <w:p>
      <w:pPr>
        <w:spacing w:after="120" w:line="276"/>
        <w:jc w:val="both"/>
      </w:pPr>
      <w:r>
        <w:rPr>
          <w:rFonts w:ascii="Times New Roman" w:cs="Times New Roman" w:eastAsia="Times New Roman" w:hAnsi="Times New Roman"/>
          <w:b/>
          <w:bCs/>
          <w:sz w:val="20"/>
          <w:szCs w:val="20"/>
        </w:rPr>
        <w:t xml:space="preserve">Real-time continuous monitoring: </w:t>
      </w:r>
      <w:r>
        <w:rPr>
          <w:rFonts w:ascii="Times New Roman" w:cs="Times New Roman" w:eastAsia="Times New Roman" w:hAnsi="Times New Roman"/>
          <w:sz w:val="20"/>
          <w:szCs w:val="20"/>
        </w:rPr>
        <w:t xml:space="preserve">Traditional room measurements capture a snapshot at a single moment. KTR’s emergent mode provides continuous 50 fps monitoring of room resonances, automatically detecting changes as doors open/close, audience fills the space, or temperature/humidity shifts alter the speed of sound and therefore mode frequencies.</w:t>
      </w:r>
    </w:p>
    <w:p>
      <w:pPr>
        <w:spacing w:after="120" w:line="276"/>
        <w:jc w:val="both"/>
      </w:pPr>
      <w:r>
        <w:rPr>
          <w:rFonts w:ascii="Times New Roman" w:cs="Times New Roman" w:eastAsia="Times New Roman" w:hAnsi="Times New Roman"/>
          <w:b/>
          <w:bCs/>
          <w:sz w:val="20"/>
          <w:szCs w:val="20"/>
        </w:rPr>
        <w:t xml:space="preserve">Direct EQ output: </w:t>
      </w:r>
      <w:r>
        <w:rPr>
          <w:rFonts w:ascii="Times New Roman" w:cs="Times New Roman" w:eastAsia="Times New Roman" w:hAnsi="Times New Roman"/>
          <w:sz w:val="20"/>
          <w:szCs w:val="20"/>
        </w:rPr>
        <w:t xml:space="preserve">Rather than producing a transfer function or impulse response that requires interpretation, KTR generates ready-to-apply PEQ recommendations — frequency, Q, and cut depth — reducing the expertise barrier for room correction.</w:t>
      </w:r>
    </w:p>
    <w:p>
      <w:pPr>
        <w:spacing w:after="100" w:before="200"/>
      </w:pPr>
      <w:r>
        <w:rPr>
          <w:rFonts w:ascii="Times New Roman" w:cs="Times New Roman" w:eastAsia="Times New Roman" w:hAnsi="Times New Roman"/>
          <w:b/>
          <w:bCs/>
          <w:sz w:val="22"/>
          <w:szCs w:val="22"/>
        </w:rPr>
        <w:t xml:space="preserve">6.2 Limitations</w:t>
      </w:r>
    </w:p>
    <w:p>
      <w:pPr>
        <w:spacing w:after="120" w:line="276"/>
        <w:jc w:val="both"/>
      </w:pPr>
      <w:r>
        <w:rPr>
          <w:rFonts w:ascii="Times New Roman" w:cs="Times New Roman" w:eastAsia="Times New Roman" w:hAnsi="Times New Roman"/>
          <w:b/>
          <w:bCs/>
          <w:sz w:val="20"/>
          <w:szCs w:val="20"/>
        </w:rPr>
        <w:t xml:space="preserve">Lower signal-to-noise ratio: </w:t>
      </w:r>
      <w:r>
        <w:rPr>
          <w:rFonts w:ascii="Times New Roman" w:cs="Times New Roman" w:eastAsia="Times New Roman" w:hAnsi="Times New Roman"/>
          <w:sz w:val="20"/>
          <w:szCs w:val="20"/>
        </w:rPr>
        <w:t xml:space="preserve">Dedicated test signals (swept sine, MLS, pink noise) provide controlled, broadband excitation with known spectral characteristics. Ambient excitation has unknown spectral distribution; room modes at frequencies with low ambient energy may not be excited sufficiently for detection.</w:t>
      </w:r>
    </w:p>
    <w:p>
      <w:pPr>
        <w:spacing w:after="120" w:line="276"/>
        <w:jc w:val="both"/>
      </w:pPr>
      <w:r>
        <w:rPr>
          <w:rFonts w:ascii="Times New Roman" w:cs="Times New Roman" w:eastAsia="Times New Roman" w:hAnsi="Times New Roman"/>
          <w:b/>
          <w:bCs/>
          <w:sz w:val="20"/>
          <w:szCs w:val="20"/>
        </w:rPr>
        <w:t xml:space="preserve">No phase response measurement: </w:t>
      </w:r>
      <w:r>
        <w:rPr>
          <w:rFonts w:ascii="Times New Roman" w:cs="Times New Roman" w:eastAsia="Times New Roman" w:hAnsi="Times New Roman"/>
          <w:sz w:val="20"/>
          <w:szCs w:val="20"/>
        </w:rPr>
        <w:t xml:space="preserve">KTR performs magnitude-only analysis. Phase response, group delay, and time-domain characteristics (early reflections, RT60 decay shape) require impulse response measurement and are not available from spectral peak analysis alone.</w:t>
      </w:r>
    </w:p>
    <w:p>
      <w:pPr>
        <w:spacing w:after="120" w:line="276"/>
        <w:jc w:val="both"/>
      </w:pPr>
      <w:r>
        <w:rPr>
          <w:rFonts w:ascii="Times New Roman" w:cs="Times New Roman" w:eastAsia="Times New Roman" w:hAnsi="Times New Roman"/>
          <w:b/>
          <w:bCs/>
          <w:sz w:val="20"/>
          <w:szCs w:val="20"/>
        </w:rPr>
        <w:t xml:space="preserve">Source ambiguity: </w:t>
      </w:r>
      <w:r>
        <w:rPr>
          <w:rFonts w:ascii="Times New Roman" w:cs="Times New Roman" w:eastAsia="Times New Roman" w:hAnsi="Times New Roman"/>
          <w:sz w:val="20"/>
          <w:szCs w:val="20"/>
        </w:rPr>
        <w:t xml:space="preserve">The system cannot distinguish room resonances from other persistent narrowband sources: HVAC system resonances, structural vibrations, external noise coupling, or electrical interference. Validation against known room geometry would strengthen confidence in identified modes.</w:t>
      </w:r>
    </w:p>
    <w:p>
      <w:pPr>
        <w:spacing w:after="120" w:before="240"/>
      </w:pPr>
      <w:r>
        <w:rPr>
          <w:rFonts w:ascii="Times New Roman" w:cs="Times New Roman" w:eastAsia="Times New Roman" w:hAnsi="Times New Roman"/>
          <w:b/>
          <w:bCs/>
          <w:sz w:val="24"/>
          <w:szCs w:val="24"/>
        </w:rPr>
        <w:t xml:space="preserve">7. DISCUSSION AND IMPLICATIONS</w:t>
      </w:r>
    </w:p>
    <w:p>
      <w:pPr>
        <w:spacing w:after="100" w:before="200"/>
      </w:pPr>
      <w:r>
        <w:rPr>
          <w:rFonts w:ascii="Times New Roman" w:cs="Times New Roman" w:eastAsia="Times New Roman" w:hAnsi="Times New Roman"/>
          <w:b/>
          <w:bCs/>
          <w:sz w:val="22"/>
          <w:szCs w:val="22"/>
        </w:rPr>
        <w:t xml:space="preserve">7.1 Dual-Mode Operation</w:t>
      </w:r>
    </w:p>
    <w:p>
      <w:pPr>
        <w:spacing w:after="120" w:line="276"/>
        <w:jc w:val="both"/>
      </w:pPr>
      <w:r>
        <w:rPr>
          <w:rFonts w:ascii="Times New Roman" w:cs="Times New Roman" w:eastAsia="Times New Roman" w:hAnsi="Times New Roman"/>
          <w:sz w:val="20"/>
          <w:szCs w:val="20"/>
        </w:rPr>
        <w:t xml:space="preserve">The discovery suggests a natural extension: a dedicated “Room Analysis” mode that deliberately employs high sensitivity to identify room resonances, with advisory cards labeled as “Room Resonance” rather than “Feedback.” Combined with the existing Ring-Out mode (which identifies actual feedback loop frequencies), this would create a comprehensive venue analysis tool — room analysis mode identifies the room’s acoustic signature; ring-out mode identifies the system’s feedback-prone frequencies; and normal mode protects against feedback during performance.</w:t>
      </w:r>
    </w:p>
    <w:p>
      <w:pPr>
        <w:spacing w:after="100" w:before="200"/>
      </w:pPr>
      <w:r>
        <w:rPr>
          <w:rFonts w:ascii="Times New Roman" w:cs="Times New Roman" w:eastAsia="Times New Roman" w:hAnsi="Times New Roman"/>
          <w:b/>
          <w:bCs/>
          <w:sz w:val="22"/>
          <w:szCs w:val="22"/>
        </w:rPr>
        <w:t xml:space="preserve">7.2 Implications for Live Sound Engineering</w:t>
      </w:r>
    </w:p>
    <w:p>
      <w:pPr>
        <w:spacing w:after="120" w:line="276"/>
        <w:jc w:val="both"/>
      </w:pPr>
      <w:r>
        <w:rPr>
          <w:rFonts w:ascii="Times New Roman" w:cs="Times New Roman" w:eastAsia="Times New Roman" w:hAnsi="Times New Roman"/>
          <w:sz w:val="20"/>
          <w:szCs w:val="20"/>
        </w:rPr>
        <w:t xml:space="preserve">Current live sound workflow requires separate measurement and correction phases, typically performed by experienced engineers with dedicated equipment. The emergent behavior documented here could democratize room analysis by enabling any sound engineer — regardless of measurement experience or equipment budget — to obtain actionable room correction data using only a smartphone or laptop microphone.</w:t>
      </w:r>
    </w:p>
    <w:p>
      <w:pPr>
        <w:spacing w:after="120" w:line="276"/>
        <w:jc w:val="both"/>
      </w:pPr>
      <w:r>
        <w:rPr>
          <w:rFonts w:ascii="Times New Roman" w:cs="Times New Roman" w:eastAsia="Times New Roman" w:hAnsi="Times New Roman"/>
          <w:sz w:val="20"/>
          <w:szCs w:val="20"/>
        </w:rPr>
        <w:t xml:space="preserve">Furthermore, the continuous nature of the analysis enables a workflow not possible with traditional measurement: </w:t>
      </w:r>
      <w:r>
        <w:rPr>
          <w:rFonts w:ascii="Times New Roman" w:cs="Times New Roman" w:eastAsia="Times New Roman" w:hAnsi="Times New Roman"/>
          <w:i/>
          <w:iCs/>
          <w:sz w:val="20"/>
          <w:szCs w:val="20"/>
        </w:rPr>
        <w:t xml:space="preserve">monitoring room resonances as they change</w:t>
      </w:r>
      <w:r>
        <w:rPr>
          <w:rFonts w:ascii="Times New Roman" w:cs="Times New Roman" w:eastAsia="Times New Roman" w:hAnsi="Times New Roman"/>
          <w:sz w:val="20"/>
          <w:szCs w:val="20"/>
        </w:rPr>
        <w:t xml:space="preserve">. As an audience fills a venue, absorption increases and resonance characteristics shift. A continuously-running room analyzer could track these changes and suggest EQ adjustments in real time.</w:t>
      </w:r>
    </w:p>
    <w:p>
      <w:pPr>
        <w:spacing w:after="100" w:before="200"/>
      </w:pPr>
      <w:r>
        <w:rPr>
          <w:rFonts w:ascii="Times New Roman" w:cs="Times New Roman" w:eastAsia="Times New Roman" w:hAnsi="Times New Roman"/>
          <w:b/>
          <w:bCs/>
          <w:sz w:val="22"/>
          <w:szCs w:val="22"/>
        </w:rPr>
        <w:t xml:space="preserve">7.3 Future Work</w:t>
      </w:r>
    </w:p>
    <w:p>
      <w:pPr>
        <w:spacing w:after="120" w:line="276"/>
        <w:jc w:val="both"/>
      </w:pPr>
      <w:r>
        <w:rPr>
          <w:rFonts w:ascii="Times New Roman" w:cs="Times New Roman" w:eastAsia="Times New Roman" w:hAnsi="Times New Roman"/>
          <w:sz w:val="20"/>
          <w:szCs w:val="20"/>
        </w:rPr>
        <w:t xml:space="preserve">Formal validation is required, comparing KTR’s room mode identifications against calibrated measurements (Smaart transfer function, REW room mode analysis) across multiple venues with known geometry. Auto-estimation of the Schroeder frequency from detected mode patterns would enable the system to infer room characteristics without explicit configuration. Extended ML training to distinguish room modes from feedback — potentially using the presence/absence of an electroacoustic loop as ground truth — could enable automatic mode classification. Cross-validation with impulse response measurements [13] would establish accuracy bounds for the ambient excitation approach.</w:t>
      </w:r>
    </w:p>
    <w:p>
      <w:pPr>
        <w:spacing w:after="120" w:before="240"/>
      </w:pPr>
      <w:r>
        <w:rPr>
          <w:rFonts w:ascii="Times New Roman" w:cs="Times New Roman" w:eastAsia="Times New Roman" w:hAnsi="Times New Roman"/>
          <w:b/>
          <w:bCs/>
          <w:sz w:val="24"/>
          <w:szCs w:val="24"/>
        </w:rPr>
        <w:t xml:space="preserve">8. CONCLUSIONS</w:t>
      </w:r>
    </w:p>
    <w:p>
      <w:pPr>
        <w:spacing w:after="120" w:line="276"/>
        <w:jc w:val="both"/>
      </w:pPr>
      <w:r>
        <w:rPr>
          <w:rFonts w:ascii="Times New Roman" w:cs="Times New Roman" w:eastAsia="Times New Roman" w:hAnsi="Times New Roman"/>
          <w:sz w:val="20"/>
          <w:szCs w:val="20"/>
        </w:rPr>
        <w:t xml:space="preserve">We have presented the discovery and mathematical analysis of an emergent behavior in the Kill The Ring acoustic feedback detection system: when operated at elevated sensitivity without an active feedback loop, the system’s six-algorithm fusion pipeline detects room resonance modes and generates equalization correction recommendations for them.</w:t>
      </w:r>
    </w:p>
    <w:p>
      <w:pPr>
        <w:spacing w:after="120" w:line="276"/>
        <w:jc w:val="both"/>
      </w:pPr>
      <w:r>
        <w:rPr>
          <w:rFonts w:ascii="Times New Roman" w:cs="Times New Roman" w:eastAsia="Times New Roman" w:hAnsi="Times New Roman"/>
          <w:sz w:val="20"/>
          <w:szCs w:val="20"/>
        </w:rPr>
        <w:t xml:space="preserve">The Spectral Signature Equivalence Theorem (Equation 17) formalizes the observation that room resonances and acoustic feedback occupy the same region of the six-dimensional algorithm score space. This equivalence is not a deficiency of the detection algorithms but a consequence of the physical similarity between the two phenomena: both are self-sustaining narrowband oscillations differing only in their sustaining mechanism, which is invisible to spectral analysis.</w:t>
      </w:r>
    </w:p>
    <w:p>
      <w:pPr>
        <w:spacing w:after="120" w:line="276"/>
        <w:jc w:val="both"/>
      </w:pPr>
      <w:r>
        <w:rPr>
          <w:rFonts w:ascii="Times New Roman" w:cs="Times New Roman" w:eastAsia="Times New Roman" w:hAnsi="Times New Roman"/>
          <w:sz w:val="20"/>
          <w:szCs w:val="20"/>
        </w:rPr>
        <w:t xml:space="preserve">This emergent capability represents, to our knowledge, the first demonstration of real-time room resonance analysis using ambient sound as excitation, requiring no test signal, no calibration microphone, and no prior room configuration. The implications for live sound engineering are significant: the barrier to room analysis — previously requiring dedicated equipment, expertise, and an unoccupied venue — is reduced to opening a browser application and raising the sensitivity slider.</w:t>
      </w:r>
    </w:p>
    <w:p>
      <w:r>
        <w:br w:type="page"/>
      </w:r>
    </w:p>
    <w:p>
      <w:pPr>
        <w:spacing w:after="120" w:before="240"/>
      </w:pPr>
      <w:r>
        <w:rPr>
          <w:rFonts w:ascii="Times New Roman" w:cs="Times New Roman" w:eastAsia="Times New Roman" w:hAnsi="Times New Roman"/>
          <w:b/>
          <w:bCs/>
          <w:sz w:val="24"/>
          <w:szCs w:val="24"/>
        </w:rPr>
        <w:t xml:space="preserve">REFERENCES</w:t>
      </w:r>
    </w:p>
    <w:p>
      <w:pPr>
        <w:spacing w:after="60"/>
        <w:ind w:left="360" w:hanging="360"/>
      </w:pPr>
      <w:r>
        <w:rPr>
          <w:rFonts w:ascii="Times New Roman" w:cs="Times New Roman" w:eastAsia="Times New Roman" w:hAnsi="Times New Roman"/>
          <w:sz w:val="18"/>
          <w:szCs w:val="18"/>
        </w:rPr>
        <w:t xml:space="preserve">[1] T. Rohdenburg, S. Goetze, V. Hohmann, "Objective perceptual quality assessment for self-steering binaural hearing aid microphone arrays," in Proc. DAFx-16, Aalto University, Brno, 2016.</w:t>
      </w:r>
    </w:p>
    <w:p>
      <w:pPr>
        <w:spacing w:after="60"/>
        <w:ind w:left="360" w:hanging="360"/>
      </w:pPr>
      <w:r>
        <w:rPr>
          <w:rFonts w:ascii="Times New Roman" w:cs="Times New Roman" w:eastAsia="Times New Roman" w:hAnsi="Times New Roman"/>
          <w:sz w:val="18"/>
          <w:szCs w:val="18"/>
        </w:rPr>
        <w:t xml:space="preserve">[2] C. Hopkins, Sound Insulation, Butterworth-Heinemann, 2007.</w:t>
      </w:r>
    </w:p>
    <w:p>
      <w:pPr>
        <w:spacing w:after="60"/>
        <w:ind w:left="360" w:hanging="360"/>
      </w:pPr>
      <w:r>
        <w:rPr>
          <w:rFonts w:ascii="Times New Roman" w:cs="Times New Roman" w:eastAsia="Times New Roman" w:hAnsi="Times New Roman"/>
          <w:sz w:val="18"/>
          <w:szCs w:val="18"/>
        </w:rPr>
        <w:t xml:space="preserve">[3] B. R. Glasberg, B. C. J. Moore, "Derivation of auditory filter shapes from notched-noise data," Hearing Research, vol. 47, pp. 103–138, 1990.</w:t>
      </w:r>
    </w:p>
    <w:p>
      <w:pPr>
        <w:spacing w:after="60"/>
        <w:ind w:left="360" w:hanging="360"/>
      </w:pPr>
      <w:r>
        <w:rPr>
          <w:rFonts w:ascii="Times New Roman" w:cs="Times New Roman" w:eastAsia="Times New Roman" w:hAnsi="Times New Roman"/>
          <w:sz w:val="18"/>
          <w:szCs w:val="18"/>
        </w:rPr>
        <w:t xml:space="preserve">[4] M. R. Schroeder, "The ‘Schroeder frequency’ revisited," J. Acoust. Soc. Am., vol. 99, no. 5, pp. 3240–3241, 1996.</w:t>
      </w:r>
    </w:p>
    <w:p>
      <w:pPr>
        <w:spacing w:after="60"/>
        <w:ind w:left="360" w:hanging="360"/>
      </w:pPr>
      <w:r>
        <w:rPr>
          <w:rFonts w:ascii="Times New Roman" w:cs="Times New Roman" w:eastAsia="Times New Roman" w:hAnsi="Times New Roman"/>
          <w:sz w:val="18"/>
          <w:szCs w:val="18"/>
        </w:rPr>
        <w:t xml:space="preserve">[5] Lord Rayleigh, The Theory of Sound, vol. I–II, Macmillan, London, 1896.</w:t>
      </w:r>
    </w:p>
    <w:p>
      <w:pPr>
        <w:spacing w:after="60"/>
        <w:ind w:left="360" w:hanging="360"/>
      </w:pPr>
      <w:r>
        <w:rPr>
          <w:rFonts w:ascii="Times New Roman" w:cs="Times New Roman" w:eastAsia="Times New Roman" w:hAnsi="Times New Roman"/>
          <w:sz w:val="18"/>
          <w:szCs w:val="18"/>
        </w:rPr>
        <w:t xml:space="preserve">[6] S. O. Larsen, "Acoustic feedback and its control," (original description of the Larsen effect).</w:t>
      </w:r>
    </w:p>
    <w:p>
      <w:pPr>
        <w:spacing w:after="60"/>
        <w:ind w:left="360" w:hanging="360"/>
      </w:pPr>
      <w:r>
        <w:rPr>
          <w:rFonts w:ascii="Times New Roman" w:cs="Times New Roman" w:eastAsia="Times New Roman" w:hAnsi="Times New Roman"/>
          <w:sz w:val="18"/>
          <w:szCs w:val="18"/>
        </w:rPr>
        <w:t xml:space="preserve">[7] T. van Waterschoot, M. Moonen, "Fifty years of acoustic feedback control: state of the art and future challenges," Proc. IEEE, vol. 99, no. 2, pp. 288–327, Feb. 2011.</w:t>
      </w:r>
    </w:p>
    <w:p>
      <w:pPr>
        <w:spacing w:after="60"/>
        <w:ind w:left="360" w:hanging="360"/>
      </w:pPr>
      <w:r>
        <w:rPr>
          <w:rFonts w:ascii="Times New Roman" w:cs="Times New Roman" w:eastAsia="Times New Roman" w:hAnsi="Times New Roman"/>
          <w:sz w:val="18"/>
          <w:szCs w:val="18"/>
        </w:rPr>
        <w:t xml:space="preserve">[8] Rational Acoustics, "Smaart v8 User Guide," 2018.</w:t>
      </w:r>
    </w:p>
    <w:p>
      <w:pPr>
        <w:spacing w:after="60"/>
        <w:ind w:left="360" w:hanging="360"/>
      </w:pPr>
      <w:r>
        <w:rPr>
          <w:rFonts w:ascii="Times New Roman" w:cs="Times New Roman" w:eastAsia="Times New Roman" w:hAnsi="Times New Roman"/>
          <w:sz w:val="18"/>
          <w:szCs w:val="18"/>
        </w:rPr>
        <w:t xml:space="preserve">[9] J. Mulcahy, "Room EQ Wizard (REW) v5.30+," 2024. [Online].</w:t>
      </w:r>
    </w:p>
    <w:p>
      <w:pPr>
        <w:spacing w:after="60"/>
        <w:ind w:left="360" w:hanging="360"/>
      </w:pPr>
      <w:r>
        <w:rPr>
          <w:rFonts w:ascii="Times New Roman" w:cs="Times New Roman" w:eastAsia="Times New Roman" w:hAnsi="Times New Roman"/>
          <w:sz w:val="18"/>
          <w:szCs w:val="18"/>
        </w:rPr>
        <w:t xml:space="preserve">[10] Dirac Research, "Dirac Live Room Correction Suite," 2023.</w:t>
      </w:r>
    </w:p>
    <w:p>
      <w:pPr>
        <w:spacing w:after="60"/>
        <w:ind w:left="360" w:hanging="360"/>
      </w:pPr>
      <w:r>
        <w:rPr>
          <w:rFonts w:ascii="Times New Roman" w:cs="Times New Roman" w:eastAsia="Times New Roman" w:hAnsi="Times New Roman"/>
          <w:sz w:val="18"/>
          <w:szCs w:val="18"/>
        </w:rPr>
        <w:t xml:space="preserve">[11] B. C. J. Moore, An Introduction to the Psychology of Hearing, 6th ed., Brill, 2012.</w:t>
      </w:r>
    </w:p>
    <w:p>
      <w:pPr>
        <w:spacing w:after="60"/>
        <w:ind w:left="360" w:hanging="360"/>
      </w:pPr>
      <w:r>
        <w:rPr>
          <w:rFonts w:ascii="Times New Roman" w:cs="Times New Roman" w:eastAsia="Times New Roman" w:hAnsi="Times New Roman"/>
          <w:sz w:val="18"/>
          <w:szCs w:val="18"/>
        </w:rPr>
        <w:t xml:space="preserve">[12] H. Kuttruff, Room Acoustics, 6th ed., CRC Press, 2016.</w:t>
      </w:r>
    </w:p>
    <w:p>
      <w:pPr>
        <w:spacing w:after="60"/>
        <w:ind w:left="360" w:hanging="360"/>
      </w:pPr>
      <w:r>
        <w:rPr>
          <w:rFonts w:ascii="Times New Roman" w:cs="Times New Roman" w:eastAsia="Times New Roman" w:hAnsi="Times New Roman"/>
          <w:sz w:val="18"/>
          <w:szCs w:val="18"/>
        </w:rPr>
        <w:t xml:space="preserve">[13] ISO 3382-1:2009, "Acoustics — Measurement of room acoustic parameters — Part 1: Performance spaces."</w:t>
      </w:r>
    </w:p>
    <w:p>
      <w:pPr>
        <w:spacing w:after="60"/>
        <w:ind w:left="360" w:hanging="360"/>
      </w:pPr>
      <w:r>
        <w:rPr>
          <w:rFonts w:ascii="Times New Roman" w:cs="Times New Roman" w:eastAsia="Times New Roman" w:hAnsi="Times New Roman"/>
          <w:sz w:val="18"/>
          <w:szCs w:val="18"/>
        </w:rPr>
        <w:t xml:space="preserve">[14] R. H. Bolt, "On the design of rooms for small-group music performance," J. Audio Eng. Soc., 1946.</w:t>
      </w:r>
    </w:p>
    <w:p>
      <w:pPr>
        <w:spacing w:after="60"/>
        <w:ind w:left="360" w:hanging="360"/>
      </w:pPr>
      <w:r>
        <w:rPr>
          <w:rFonts w:ascii="Times New Roman" w:cs="Times New Roman" w:eastAsia="Times New Roman" w:hAnsi="Times New Roman"/>
          <w:sz w:val="18"/>
          <w:szCs w:val="18"/>
        </w:rPr>
        <w:t xml:space="preserve">[15] N. I. Fisher, Statistical Analysis of Circular Data, Cambridge University Press, 1993.</w:t>
      </w:r>
    </w:p>
    <w:p>
      <w:pPr>
        <w:spacing w:after="60"/>
        <w:ind w:left="360" w:hanging="360"/>
      </w:pPr>
      <w:r>
        <w:rPr>
          <w:rFonts w:ascii="Times New Roman" w:cs="Times New Roman" w:eastAsia="Times New Roman" w:hAnsi="Times New Roman"/>
          <w:sz w:val="18"/>
          <w:szCs w:val="18"/>
        </w:rPr>
        <w:t xml:space="preserve">[16] J. W. Cooley, J. W. Tukey, "An algorithm for the machine calculation of complex Fourier series," Math. Comput., vol. 19, pp. 297–301, 1965.</w:t>
      </w:r>
    </w:p>
    <w:p>
      <w:pPr>
        <w:spacing w:after="60"/>
        <w:ind w:left="360" w:hanging="360"/>
      </w:pPr>
      <w:r>
        <w:rPr>
          <w:rFonts w:ascii="Times New Roman" w:cs="Times New Roman" w:eastAsia="Times New Roman" w:hAnsi="Times New Roman"/>
          <w:sz w:val="18"/>
          <w:szCs w:val="18"/>
        </w:rPr>
        <w:t xml:space="preserve">[17] J. S. Bendat, A. G. Piersol, Random Data: Analysis and Measurement Procedures, 4th ed., Wiley, 2010.</w:t>
      </w:r>
    </w:p>
    <w:p>
      <w:pPr>
        <w:spacing w:after="60"/>
        <w:ind w:left="360" w:hanging="360"/>
      </w:pPr>
      <w:r>
        <w:rPr>
          <w:rFonts w:ascii="Times New Roman" w:cs="Times New Roman" w:eastAsia="Times New Roman" w:hAnsi="Times New Roman"/>
          <w:sz w:val="18"/>
          <w:szCs w:val="18"/>
        </w:rPr>
        <w:t xml:space="preserve">[18] M. Möser, Engineering Acoustics: An Introduction to Noise Control, 2nd ed., Springer, 2009.</w:t>
      </w:r>
    </w:p>
    <w:p>
      <w:pPr>
        <w:spacing w:after="60"/>
        <w:ind w:left="360" w:hanging="360"/>
      </w:pPr>
      <w:r>
        <w:rPr>
          <w:rFonts w:ascii="Times New Roman" w:cs="Times New Roman" w:eastAsia="Times New Roman" w:hAnsi="Times New Roman"/>
          <w:sz w:val="18"/>
          <w:szCs w:val="18"/>
        </w:rPr>
        <w:t xml:space="preserve">[19] AES Information Document for Room Acoustics, AES-4id-2001.</w:t>
      </w:r>
    </w:p>
    <w:p>
      <w:pPr>
        <w:spacing w:after="60"/>
        <w:ind w:left="360" w:hanging="360"/>
      </w:pPr>
      <w:r>
        <w:rPr>
          <w:rFonts w:ascii="Times New Roman" w:cs="Times New Roman" w:eastAsia="Times New Roman" w:hAnsi="Times New Roman"/>
          <w:sz w:val="18"/>
          <w:szCs w:val="18"/>
        </w:rPr>
        <w:t xml:space="preserve">[20] D. Wells, "Kill The Ring: Real-time acoustic feedback detection using six-algorithm fusion," unpublished,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6"/>
        <w:szCs w:val="16"/>
      </w:rPr>
      <w:t xml:space="preserve">Page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666666"/>
        <w:sz w:val="16"/>
        <w:szCs w:val="16"/>
      </w:rPr>
      <w:t xml:space="preserve">Audio Engineering Society Convention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2026-03-20T06:03:42.862Z</dcterms:created>
  <dcterms:modified xsi:type="dcterms:W3CDTF">2026-03-20T06:03:42.862Z</dcterms:modified>
</cp:coreProperties>
</file>

<file path=docProps/custom.xml><?xml version="1.0" encoding="utf-8"?>
<Properties xmlns="http://schemas.openxmlformats.org/officeDocument/2006/custom-properties" xmlns:vt="http://schemas.openxmlformats.org/officeDocument/2006/docPropsVTypes"/>
</file>