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Title: Measurement of Z to mumu cross section in pp collisions at sqrt(s)=13TeV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highlight w:val="white"/>
          <w:rtl w:val="0"/>
        </w:rPr>
        <w:t xml:space="preserve">Nam Jong Woo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1.  Introduction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Why? 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highlight w:val="white"/>
          <w:rtl w:val="0"/>
        </w:rPr>
        <w:t xml:space="preserve">Studying processes of Z boson decay.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highlight w:val="white"/>
          <w:rtl w:val="0"/>
        </w:rPr>
        <w:t xml:space="preserve">Understand how to find and reconstruct elementary particles from collision detectors.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highlight w:val="white"/>
          <w:rtl w:val="0"/>
        </w:rPr>
        <w:t xml:space="preserve">This paper describes a measurement of cross section for Z-&gt;mumu in pp collisions at sqrt(s)=13TeV.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The production of Z bosons in pp collisions is mainly via the weak Drell-Yan process consisting of the annihilation of a quark and an antiquark. The production process pp-&gt;Z+X is dominated by uubar and ddbar-&gt;Z.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2. CMS detector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CMS detector contains a silicon pixel and strip tracker, an electromagnetic calorimeter (ECAL), a hadron calorimeter (HCAL), superconducting solenoid,  and a muon detector. The solenoid provide 3.8T magnetic field and this bends muon trajectories oppositely inside and outside. Muons are detected from silicon pixel and strip tracker, and muon detector.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 right-handed coordinate system is used in CMS, with the origin at the nominal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interaction point, the x-axis pointing to the center of the LHC ring, the y-axis pointing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up (perpendicular to the LHC plane), and the z-axis along the anticlockwise-beam direc-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tion. The polar angle θ is measured from the positive z-axis and the azimuthal angle φ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rdo" w:cs="Cardo" w:eastAsia="Cardo" w:hAnsi="Cardo"/>
          <w:highlight w:val="white"/>
          <w:rtl w:val="0"/>
        </w:rPr>
        <w:t xml:space="preserve">measured (in radians) in the xy-plane. The pseudorapidity is given by η = − ln tan(θ/2).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Muons are detected in the pseudorapidity window |η| &lt; 2.4, with detection planes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based on three technologies: drift tubes, cathode strip chambers, and resistive plate cham-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bers. A high-pT muon originating from the interaction point produces track segments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typically in three or four muon stations. Matching these segments to tracks measured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the inner tracker results in a pT resolution between 1 and 2% for pT values up to 100 GeV.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3. Analysis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&lt;simulation samples&gt;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4. Procedure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&lt;Event selection&gt;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muon isolation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60&lt;mass &lt;120GeV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5. Result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6. Conclusion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rdo">
    <w:embedRegular r:id="rId1" w:subsetted="0"/>
    <w:embedBold r:id="rId2" w:subsetted="0"/>
    <w:embedItalic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