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D73A2" w14:textId="77777777" w:rsidR="00AB4CCF" w:rsidRPr="0087122C" w:rsidRDefault="00AB4CCF" w:rsidP="008C451A">
      <w:pPr>
        <w:jc w:val="center"/>
        <w:rPr>
          <w:b/>
          <w:sz w:val="28"/>
          <w:szCs w:val="28"/>
        </w:rPr>
      </w:pPr>
      <w:r w:rsidRPr="0087122C">
        <w:rPr>
          <w:b/>
          <w:sz w:val="28"/>
          <w:szCs w:val="28"/>
        </w:rPr>
        <w:t xml:space="preserve">  </w:t>
      </w:r>
    </w:p>
    <w:p w14:paraId="62F9EFC8" w14:textId="77777777" w:rsidR="008C451A" w:rsidRPr="0087122C" w:rsidRDefault="008C451A" w:rsidP="00AB4CCF">
      <w:pPr>
        <w:jc w:val="center"/>
        <w:rPr>
          <w:b/>
          <w:sz w:val="28"/>
          <w:szCs w:val="28"/>
        </w:rPr>
      </w:pPr>
      <w:r w:rsidRPr="0087122C">
        <w:rPr>
          <w:b/>
          <w:sz w:val="28"/>
          <w:szCs w:val="28"/>
        </w:rPr>
        <w:t>Human Rights</w:t>
      </w:r>
      <w:r w:rsidR="00AB4CCF" w:rsidRPr="0087122C">
        <w:rPr>
          <w:b/>
          <w:sz w:val="28"/>
          <w:szCs w:val="28"/>
        </w:rPr>
        <w:t xml:space="preserve"> and the Middle East</w:t>
      </w:r>
    </w:p>
    <w:p w14:paraId="2970B502" w14:textId="77777777" w:rsidR="001A4BF3" w:rsidRDefault="001A4BF3" w:rsidP="00AB4CCF">
      <w:pPr>
        <w:jc w:val="center"/>
        <w:rPr>
          <w:b/>
        </w:rPr>
      </w:pPr>
    </w:p>
    <w:p w14:paraId="2925DFF5" w14:textId="655D2E66" w:rsidR="008C451A" w:rsidRDefault="008C451A" w:rsidP="0087122C">
      <w:pPr>
        <w:jc w:val="center"/>
      </w:pPr>
      <w:r>
        <w:t>Lecturer: Roja Fazaeli</w:t>
      </w:r>
    </w:p>
    <w:p w14:paraId="2D0D890E" w14:textId="77777777" w:rsidR="008C451A" w:rsidRDefault="008C451A" w:rsidP="0087122C">
      <w:pPr>
        <w:jc w:val="center"/>
        <w:rPr>
          <w:rStyle w:val="Hyperlink"/>
        </w:rPr>
      </w:pPr>
      <w:r>
        <w:t xml:space="preserve">Email: </w:t>
      </w:r>
      <w:hyperlink r:id="rId8" w:history="1">
        <w:r w:rsidRPr="0044705F">
          <w:rPr>
            <w:rStyle w:val="Hyperlink"/>
          </w:rPr>
          <w:t>fazaelr@tcd.ie</w:t>
        </w:r>
      </w:hyperlink>
    </w:p>
    <w:p w14:paraId="42C9FAB0" w14:textId="77777777" w:rsidR="0087122C" w:rsidRDefault="0087122C" w:rsidP="0087122C">
      <w:pPr>
        <w:jc w:val="center"/>
      </w:pPr>
      <w:bookmarkStart w:id="0" w:name="_GoBack"/>
      <w:bookmarkEnd w:id="0"/>
    </w:p>
    <w:p w14:paraId="7B4FA9C3" w14:textId="77777777" w:rsidR="00AB4CCF" w:rsidRPr="00730EA0" w:rsidRDefault="00AB4CCF" w:rsidP="008C451A">
      <w:pPr>
        <w:rPr>
          <w:u w:val="single"/>
        </w:rPr>
      </w:pPr>
    </w:p>
    <w:p w14:paraId="3A308936" w14:textId="77777777" w:rsidR="008C451A" w:rsidRDefault="00AB4CCF" w:rsidP="008C451A">
      <w:pPr>
        <w:rPr>
          <w:b/>
          <w:u w:val="single"/>
        </w:rPr>
      </w:pPr>
      <w:r>
        <w:rPr>
          <w:b/>
          <w:u w:val="single"/>
        </w:rPr>
        <w:t>Aim and Objectives</w:t>
      </w:r>
    </w:p>
    <w:p w14:paraId="730CC1B1" w14:textId="77777777" w:rsidR="00AB4CCF" w:rsidRPr="00AB4CCF" w:rsidRDefault="00AB4CCF" w:rsidP="00AB4CCF">
      <w:pPr>
        <w:rPr>
          <w:b/>
          <w:u w:val="single"/>
        </w:rPr>
      </w:pPr>
    </w:p>
    <w:p w14:paraId="4B6FA4C7" w14:textId="0A045B8B" w:rsidR="00AB4CCF" w:rsidRPr="00AB4CCF" w:rsidRDefault="00AB4CCF" w:rsidP="00D060E6">
      <w:pPr>
        <w:jc w:val="both"/>
      </w:pPr>
      <w:r w:rsidRPr="00AB4CCF">
        <w:t xml:space="preserve">This module seeks to provide students with an introduction to human rights in the Middle East and North Africa from theoretical and practical perspectives. The module gives an overview of </w:t>
      </w:r>
      <w:r w:rsidR="00BD42C4">
        <w:t xml:space="preserve">the state of </w:t>
      </w:r>
      <w:r w:rsidRPr="00AB4CCF">
        <w:t xml:space="preserve">international human rights </w:t>
      </w:r>
      <w:r w:rsidR="00BD42C4">
        <w:t xml:space="preserve">discourse </w:t>
      </w:r>
      <w:r w:rsidRPr="00AB4CCF">
        <w:t xml:space="preserve">and looks at the implementation of human rights law in the regions of the Middle East and North Africa. </w:t>
      </w:r>
      <w:r w:rsidR="00E66A5D">
        <w:t xml:space="preserve"> </w:t>
      </w:r>
      <w:r w:rsidRPr="00AB4CCF">
        <w:t xml:space="preserve">The theoretical perspective will both engage the international human rights system and also consider debates around the universality of rights and the relationship between Islam and human rights. </w:t>
      </w:r>
    </w:p>
    <w:p w14:paraId="15113B57" w14:textId="77777777" w:rsidR="00AB4CCF" w:rsidRPr="00730EA0" w:rsidRDefault="00AB4CCF" w:rsidP="008C451A">
      <w:pPr>
        <w:rPr>
          <w:b/>
          <w:u w:val="single"/>
        </w:rPr>
      </w:pPr>
    </w:p>
    <w:p w14:paraId="511E324D" w14:textId="77777777" w:rsidR="008C451A" w:rsidRDefault="008C451A" w:rsidP="008C451A"/>
    <w:p w14:paraId="0E7C8892" w14:textId="77777777" w:rsidR="008C451A" w:rsidRPr="00730EA0" w:rsidRDefault="008C451A" w:rsidP="008C451A">
      <w:pPr>
        <w:rPr>
          <w:b/>
          <w:u w:val="single"/>
        </w:rPr>
      </w:pPr>
      <w:r w:rsidRPr="00730EA0">
        <w:rPr>
          <w:b/>
          <w:u w:val="single"/>
        </w:rPr>
        <w:t>Mode of Study:</w:t>
      </w:r>
    </w:p>
    <w:p w14:paraId="5A8FFF49" w14:textId="77777777" w:rsidR="008C451A" w:rsidRPr="008F5FAC" w:rsidRDefault="008C451A" w:rsidP="008C451A">
      <w:r w:rsidRPr="00730EA0">
        <w:t>The course will combine lectures and in class discussions. Students are expected to read the recommended material(s) before class and participate in the discussions.</w:t>
      </w:r>
    </w:p>
    <w:p w14:paraId="614180D7" w14:textId="77777777" w:rsidR="008C451A" w:rsidRPr="00730EA0" w:rsidRDefault="008C451A" w:rsidP="008C451A">
      <w:pPr>
        <w:rPr>
          <w:b/>
          <w:u w:val="single"/>
        </w:rPr>
      </w:pPr>
    </w:p>
    <w:p w14:paraId="28F89279" w14:textId="77777777" w:rsidR="008C451A" w:rsidRPr="00730EA0" w:rsidRDefault="008C451A" w:rsidP="008C451A">
      <w:pPr>
        <w:rPr>
          <w:b/>
          <w:u w:val="single"/>
        </w:rPr>
      </w:pPr>
      <w:r w:rsidRPr="00730EA0">
        <w:rPr>
          <w:b/>
          <w:u w:val="single"/>
        </w:rPr>
        <w:t>Assessment:</w:t>
      </w:r>
    </w:p>
    <w:p w14:paraId="6317E1AE" w14:textId="04BF4D24" w:rsidR="008C451A" w:rsidRDefault="008C451A" w:rsidP="00AB4CCF">
      <w:pPr>
        <w:jc w:val="both"/>
      </w:pPr>
      <w:proofErr w:type="gramStart"/>
      <w:r>
        <w:t>Th</w:t>
      </w:r>
      <w:r w:rsidR="00AB4CCF">
        <w:t xml:space="preserve">is course </w:t>
      </w:r>
      <w:r w:rsidR="0037697F">
        <w:t>will be assessed by an essay and</w:t>
      </w:r>
      <w:r w:rsidR="00D060E6">
        <w:t xml:space="preserve"> a human rights campaign</w:t>
      </w:r>
      <w:proofErr w:type="gramEnd"/>
      <w:r w:rsidR="00D060E6">
        <w:t xml:space="preserve"> (report and book review). </w:t>
      </w:r>
    </w:p>
    <w:p w14:paraId="2639B31E" w14:textId="77777777" w:rsidR="00AB4CCF" w:rsidRPr="00403AAE" w:rsidRDefault="00AB4CCF" w:rsidP="00AB4CCF">
      <w:pPr>
        <w:jc w:val="both"/>
      </w:pPr>
    </w:p>
    <w:p w14:paraId="0E9956C0" w14:textId="77777777" w:rsidR="008C451A" w:rsidRPr="00542AB1" w:rsidRDefault="008C451A" w:rsidP="00AB4CCF"/>
    <w:p w14:paraId="2BA1B6DA" w14:textId="77777777" w:rsidR="008C451A" w:rsidRDefault="008C451A" w:rsidP="008C451A">
      <w:pPr>
        <w:jc w:val="both"/>
        <w:rPr>
          <w:b/>
        </w:rPr>
      </w:pPr>
    </w:p>
    <w:p w14:paraId="75F09E63" w14:textId="77777777" w:rsidR="0052775A" w:rsidRDefault="0052775A" w:rsidP="008C451A">
      <w:pPr>
        <w:jc w:val="both"/>
        <w:rPr>
          <w:b/>
        </w:rPr>
      </w:pPr>
    </w:p>
    <w:p w14:paraId="2AF929F6" w14:textId="77777777" w:rsidR="0052775A" w:rsidRDefault="0052775A" w:rsidP="008C451A">
      <w:pPr>
        <w:jc w:val="both"/>
        <w:rPr>
          <w:b/>
        </w:rPr>
      </w:pPr>
    </w:p>
    <w:p w14:paraId="33CB8EB8" w14:textId="77777777" w:rsidR="0052775A" w:rsidRDefault="0052775A" w:rsidP="008C451A">
      <w:pPr>
        <w:jc w:val="both"/>
        <w:rPr>
          <w:b/>
        </w:rPr>
      </w:pPr>
    </w:p>
    <w:p w14:paraId="232F0635" w14:textId="77777777" w:rsidR="0052775A" w:rsidRDefault="0052775A" w:rsidP="008C451A">
      <w:pPr>
        <w:jc w:val="both"/>
        <w:rPr>
          <w:b/>
        </w:rPr>
      </w:pPr>
    </w:p>
    <w:p w14:paraId="5E0DDF2B" w14:textId="77777777" w:rsidR="0052775A" w:rsidRDefault="0052775A" w:rsidP="008C451A">
      <w:pPr>
        <w:jc w:val="both"/>
        <w:rPr>
          <w:b/>
        </w:rPr>
      </w:pPr>
    </w:p>
    <w:p w14:paraId="55374C23" w14:textId="77777777" w:rsidR="0052775A" w:rsidRDefault="0052775A" w:rsidP="008C451A">
      <w:pPr>
        <w:jc w:val="both"/>
        <w:rPr>
          <w:b/>
        </w:rPr>
      </w:pPr>
    </w:p>
    <w:p w14:paraId="4570BA8C" w14:textId="77777777" w:rsidR="0052775A" w:rsidRDefault="0052775A" w:rsidP="008C451A">
      <w:pPr>
        <w:jc w:val="both"/>
        <w:rPr>
          <w:b/>
        </w:rPr>
      </w:pPr>
    </w:p>
    <w:p w14:paraId="10B172EA" w14:textId="77777777" w:rsidR="0052775A" w:rsidRDefault="0052775A" w:rsidP="008C451A">
      <w:pPr>
        <w:jc w:val="both"/>
        <w:rPr>
          <w:b/>
        </w:rPr>
      </w:pPr>
    </w:p>
    <w:p w14:paraId="02923DA0" w14:textId="77777777" w:rsidR="0052775A" w:rsidRDefault="0052775A" w:rsidP="008C451A">
      <w:pPr>
        <w:jc w:val="both"/>
        <w:rPr>
          <w:b/>
        </w:rPr>
      </w:pPr>
    </w:p>
    <w:p w14:paraId="3F52C298" w14:textId="77777777" w:rsidR="0052775A" w:rsidRDefault="0052775A" w:rsidP="008C451A">
      <w:pPr>
        <w:jc w:val="both"/>
        <w:rPr>
          <w:b/>
        </w:rPr>
      </w:pPr>
    </w:p>
    <w:p w14:paraId="65002626" w14:textId="77777777" w:rsidR="0052775A" w:rsidRDefault="0052775A" w:rsidP="008C451A">
      <w:pPr>
        <w:jc w:val="both"/>
        <w:rPr>
          <w:b/>
        </w:rPr>
      </w:pPr>
    </w:p>
    <w:p w14:paraId="51C463FC" w14:textId="77777777" w:rsidR="0052775A" w:rsidRDefault="0052775A" w:rsidP="008C451A">
      <w:pPr>
        <w:jc w:val="both"/>
        <w:rPr>
          <w:b/>
        </w:rPr>
      </w:pPr>
    </w:p>
    <w:p w14:paraId="763C8EC3" w14:textId="77777777" w:rsidR="0052775A" w:rsidRDefault="0052775A" w:rsidP="008C451A">
      <w:pPr>
        <w:jc w:val="both"/>
        <w:rPr>
          <w:b/>
        </w:rPr>
      </w:pPr>
    </w:p>
    <w:p w14:paraId="0C3DD557" w14:textId="77777777" w:rsidR="0052775A" w:rsidRDefault="0052775A" w:rsidP="008C451A">
      <w:pPr>
        <w:jc w:val="both"/>
        <w:rPr>
          <w:b/>
        </w:rPr>
      </w:pPr>
    </w:p>
    <w:p w14:paraId="3B2E1FE1" w14:textId="77777777" w:rsidR="0052775A" w:rsidRDefault="0052775A" w:rsidP="008C451A">
      <w:pPr>
        <w:jc w:val="both"/>
        <w:rPr>
          <w:b/>
        </w:rPr>
      </w:pPr>
    </w:p>
    <w:p w14:paraId="7389DA32" w14:textId="77777777" w:rsidR="0052775A" w:rsidRDefault="0052775A" w:rsidP="008C451A">
      <w:pPr>
        <w:jc w:val="both"/>
        <w:rPr>
          <w:b/>
        </w:rPr>
      </w:pPr>
    </w:p>
    <w:p w14:paraId="0A8499BE" w14:textId="77777777" w:rsidR="0052775A" w:rsidRDefault="0052775A" w:rsidP="008C451A">
      <w:pPr>
        <w:jc w:val="both"/>
        <w:rPr>
          <w:b/>
        </w:rPr>
      </w:pPr>
    </w:p>
    <w:p w14:paraId="1C0ABEF4" w14:textId="77777777" w:rsidR="0052775A" w:rsidRDefault="0052775A" w:rsidP="008C451A">
      <w:pPr>
        <w:jc w:val="both"/>
        <w:rPr>
          <w:b/>
        </w:rPr>
      </w:pPr>
    </w:p>
    <w:p w14:paraId="634C6191" w14:textId="77777777" w:rsidR="0052775A" w:rsidRDefault="0052775A" w:rsidP="008C451A">
      <w:pPr>
        <w:jc w:val="both"/>
        <w:rPr>
          <w:b/>
        </w:rPr>
      </w:pPr>
    </w:p>
    <w:p w14:paraId="0447EA18" w14:textId="77777777" w:rsidR="0052775A" w:rsidRDefault="0052775A" w:rsidP="008C451A">
      <w:pPr>
        <w:jc w:val="both"/>
        <w:rPr>
          <w:b/>
        </w:rPr>
      </w:pPr>
    </w:p>
    <w:p w14:paraId="55EC5C34" w14:textId="77777777" w:rsidR="0052775A" w:rsidRDefault="0052775A" w:rsidP="008C451A">
      <w:pPr>
        <w:jc w:val="both"/>
        <w:rPr>
          <w:b/>
        </w:rPr>
      </w:pPr>
    </w:p>
    <w:p w14:paraId="679A2DA6" w14:textId="77777777" w:rsidR="0052775A" w:rsidRDefault="0052775A" w:rsidP="008C451A">
      <w:pPr>
        <w:jc w:val="both"/>
        <w:rPr>
          <w:b/>
          <w:u w:val="single"/>
        </w:rPr>
      </w:pPr>
    </w:p>
    <w:p w14:paraId="20D635B0" w14:textId="77777777" w:rsidR="00D96081" w:rsidRDefault="00D96081" w:rsidP="008C451A">
      <w:pPr>
        <w:jc w:val="both"/>
        <w:rPr>
          <w:b/>
          <w:u w:val="single"/>
        </w:rPr>
      </w:pPr>
    </w:p>
    <w:p w14:paraId="54D6687E" w14:textId="77777777" w:rsidR="00D96081" w:rsidRDefault="00D96081" w:rsidP="008C451A">
      <w:pPr>
        <w:jc w:val="both"/>
        <w:rPr>
          <w:b/>
          <w:u w:val="single"/>
        </w:rPr>
      </w:pPr>
    </w:p>
    <w:p w14:paraId="40739585" w14:textId="77777777" w:rsidR="008C451A" w:rsidRPr="00730EA0" w:rsidRDefault="008C451A" w:rsidP="008C451A">
      <w:pPr>
        <w:jc w:val="both"/>
        <w:rPr>
          <w:b/>
          <w:u w:val="single"/>
        </w:rPr>
      </w:pPr>
    </w:p>
    <w:p w14:paraId="2D3BF0CD" w14:textId="77777777" w:rsidR="008C451A" w:rsidRPr="00730EA0" w:rsidRDefault="008C451A" w:rsidP="008C451A">
      <w:pPr>
        <w:jc w:val="both"/>
        <w:rPr>
          <w:b/>
          <w:u w:val="single"/>
        </w:rPr>
      </w:pPr>
    </w:p>
    <w:p w14:paraId="6F91A802" w14:textId="77777777" w:rsidR="008C451A" w:rsidRPr="00730EA0" w:rsidRDefault="00AB4CCF" w:rsidP="008C451A">
      <w:pPr>
        <w:jc w:val="both"/>
        <w:rPr>
          <w:b/>
          <w:u w:val="single"/>
        </w:rPr>
      </w:pPr>
      <w:r>
        <w:rPr>
          <w:b/>
          <w:u w:val="single"/>
        </w:rPr>
        <w:t>Week</w:t>
      </w:r>
      <w:r w:rsidR="008C451A" w:rsidRPr="00730EA0">
        <w:rPr>
          <w:b/>
          <w:u w:val="single"/>
        </w:rPr>
        <w:t xml:space="preserve"> 1</w:t>
      </w:r>
      <w:r>
        <w:rPr>
          <w:b/>
          <w:u w:val="single"/>
        </w:rPr>
        <w:t xml:space="preserve">: </w:t>
      </w:r>
      <w:r w:rsidR="008C451A" w:rsidRPr="00730EA0">
        <w:rPr>
          <w:b/>
          <w:u w:val="single"/>
        </w:rPr>
        <w:t>Definition and Evolution of Rights</w:t>
      </w:r>
    </w:p>
    <w:p w14:paraId="7E3FE017" w14:textId="77777777" w:rsidR="00F91FA4" w:rsidRDefault="00F91FA4" w:rsidP="008C451A">
      <w:pPr>
        <w:jc w:val="both"/>
      </w:pPr>
    </w:p>
    <w:p w14:paraId="62DFFE23" w14:textId="77777777" w:rsidR="008C451A" w:rsidRDefault="008C451A" w:rsidP="008C451A">
      <w:pPr>
        <w:ind w:left="360"/>
        <w:jc w:val="both"/>
      </w:pPr>
      <w:r>
        <w:t xml:space="preserve">Discussion themes: </w:t>
      </w:r>
    </w:p>
    <w:p w14:paraId="46256FDD" w14:textId="0A52E452" w:rsidR="008C451A" w:rsidRDefault="0037697F" w:rsidP="008C451A">
      <w:pPr>
        <w:numPr>
          <w:ilvl w:val="0"/>
          <w:numId w:val="2"/>
        </w:numPr>
        <w:jc w:val="both"/>
      </w:pPr>
      <w:proofErr w:type="gramStart"/>
      <w:r>
        <w:t>o</w:t>
      </w:r>
      <w:r w:rsidR="000D34F4">
        <w:t>rigins</w:t>
      </w:r>
      <w:proofErr w:type="gramEnd"/>
      <w:r w:rsidR="000D34F4">
        <w:t xml:space="preserve"> of r</w:t>
      </w:r>
      <w:r>
        <w:t>ights:</w:t>
      </w:r>
      <w:r w:rsidR="008C451A">
        <w:t xml:space="preserve"> conceptual and theoretical foundations of human rights</w:t>
      </w:r>
    </w:p>
    <w:p w14:paraId="25414163" w14:textId="14105922" w:rsidR="008C451A" w:rsidRDefault="0037697F" w:rsidP="008C451A">
      <w:pPr>
        <w:numPr>
          <w:ilvl w:val="0"/>
          <w:numId w:val="2"/>
        </w:numPr>
        <w:jc w:val="both"/>
      </w:pPr>
      <w:proofErr w:type="gramStart"/>
      <w:r>
        <w:t>c</w:t>
      </w:r>
      <w:r w:rsidR="00726432">
        <w:t>ultural</w:t>
      </w:r>
      <w:proofErr w:type="gramEnd"/>
      <w:r w:rsidR="00726432">
        <w:t xml:space="preserve"> </w:t>
      </w:r>
      <w:r>
        <w:t>arguments versus u</w:t>
      </w:r>
      <w:r w:rsidR="008C451A">
        <w:t>niversal</w:t>
      </w:r>
      <w:r>
        <w:t xml:space="preserve"> norms</w:t>
      </w:r>
    </w:p>
    <w:p w14:paraId="53762D1C" w14:textId="77777777" w:rsidR="008C451A" w:rsidRDefault="008C451A" w:rsidP="008C451A">
      <w:pPr>
        <w:ind w:left="720"/>
        <w:jc w:val="both"/>
      </w:pPr>
    </w:p>
    <w:p w14:paraId="77AD6336" w14:textId="77777777" w:rsidR="008C451A" w:rsidRPr="00726432" w:rsidRDefault="008C451A" w:rsidP="008C451A">
      <w:pPr>
        <w:pStyle w:val="BodyTextIndent"/>
        <w:keepNext/>
        <w:rPr>
          <w:b/>
          <w:bCs/>
          <w:i/>
        </w:rPr>
      </w:pPr>
      <w:r w:rsidRPr="00726432">
        <w:rPr>
          <w:b/>
          <w:bCs/>
          <w:i/>
        </w:rPr>
        <w:t>Essential readings:</w:t>
      </w:r>
    </w:p>
    <w:p w14:paraId="51C3F8DD" w14:textId="77777777" w:rsidR="008C451A" w:rsidRDefault="008C451A" w:rsidP="008C451A">
      <w:pPr>
        <w:pStyle w:val="BodyTextIndent"/>
        <w:keepNext/>
        <w:rPr>
          <w:bCs/>
          <w:iCs/>
        </w:rPr>
      </w:pPr>
    </w:p>
    <w:p w14:paraId="662F2600" w14:textId="77777777" w:rsidR="00AD07E3" w:rsidRDefault="00AD07E3" w:rsidP="008C451A">
      <w:pPr>
        <w:pStyle w:val="BodyTextIndent"/>
        <w:keepNext/>
        <w:rPr>
          <w:bCs/>
          <w:iCs/>
        </w:rPr>
      </w:pPr>
      <w:r>
        <w:rPr>
          <w:bCs/>
          <w:iCs/>
        </w:rPr>
        <w:t xml:space="preserve">Andrew Clapham, </w:t>
      </w:r>
      <w:r>
        <w:rPr>
          <w:bCs/>
          <w:i/>
          <w:iCs/>
        </w:rPr>
        <w:t xml:space="preserve">Human Rights, A Very Short Introduction, </w:t>
      </w:r>
      <w:r>
        <w:rPr>
          <w:bCs/>
          <w:iCs/>
        </w:rPr>
        <w:t>Oxford and New York:</w:t>
      </w:r>
    </w:p>
    <w:p w14:paraId="39D1C789" w14:textId="56158130" w:rsidR="008C451A" w:rsidRDefault="00AD07E3" w:rsidP="008C451A">
      <w:pPr>
        <w:pStyle w:val="BodyTextIndent"/>
        <w:keepNext/>
        <w:rPr>
          <w:bCs/>
          <w:iCs/>
        </w:rPr>
      </w:pPr>
      <w:r>
        <w:rPr>
          <w:bCs/>
          <w:iCs/>
        </w:rPr>
        <w:t xml:space="preserve">Oxford </w:t>
      </w:r>
      <w:r w:rsidR="003E3CB3">
        <w:rPr>
          <w:bCs/>
          <w:iCs/>
        </w:rPr>
        <w:t>University Press, 2007, pp. 1-23</w:t>
      </w:r>
      <w:r>
        <w:rPr>
          <w:bCs/>
          <w:iCs/>
        </w:rPr>
        <w:t>.</w:t>
      </w:r>
    </w:p>
    <w:p w14:paraId="31FB9583" w14:textId="77777777" w:rsidR="00855770" w:rsidRDefault="00855770" w:rsidP="008C451A">
      <w:pPr>
        <w:pStyle w:val="BodyTextIndent"/>
        <w:keepNext/>
        <w:rPr>
          <w:bCs/>
          <w:iCs/>
        </w:rPr>
      </w:pPr>
    </w:p>
    <w:p w14:paraId="37E68543" w14:textId="77777777" w:rsidR="0037697F" w:rsidRDefault="0037697F" w:rsidP="0037697F">
      <w:pPr>
        <w:pStyle w:val="BodyTextIndent"/>
        <w:keepNext/>
        <w:jc w:val="both"/>
        <w:rPr>
          <w:bCs/>
          <w:iCs/>
        </w:rPr>
      </w:pPr>
      <w:r>
        <w:rPr>
          <w:bCs/>
          <w:iCs/>
        </w:rPr>
        <w:t>Human Rights:</w:t>
      </w:r>
      <w:r w:rsidR="00855770">
        <w:rPr>
          <w:bCs/>
          <w:iCs/>
        </w:rPr>
        <w:t xml:space="preserve"> A Basic Handbook for UN Staff, Office of the </w:t>
      </w:r>
      <w:r>
        <w:rPr>
          <w:bCs/>
          <w:iCs/>
        </w:rPr>
        <w:t>UN High Commissioner</w:t>
      </w:r>
    </w:p>
    <w:p w14:paraId="1BA37F96" w14:textId="21933914" w:rsidR="00855770" w:rsidRDefault="00855770" w:rsidP="0037697F">
      <w:pPr>
        <w:pStyle w:val="BodyTextIndent"/>
        <w:keepNext/>
        <w:jc w:val="both"/>
        <w:rPr>
          <w:bCs/>
          <w:iCs/>
        </w:rPr>
      </w:pPr>
      <w:proofErr w:type="gramStart"/>
      <w:r>
        <w:rPr>
          <w:bCs/>
          <w:iCs/>
        </w:rPr>
        <w:t>for</w:t>
      </w:r>
      <w:proofErr w:type="gramEnd"/>
      <w:r w:rsidR="0037697F">
        <w:rPr>
          <w:bCs/>
          <w:iCs/>
        </w:rPr>
        <w:t xml:space="preserve"> </w:t>
      </w:r>
      <w:r>
        <w:rPr>
          <w:bCs/>
          <w:iCs/>
        </w:rPr>
        <w:t>Human Rights.</w:t>
      </w:r>
    </w:p>
    <w:p w14:paraId="3FE09E13" w14:textId="77777777" w:rsidR="00AD07E3" w:rsidRPr="00AD07E3" w:rsidRDefault="00AD07E3" w:rsidP="00855770">
      <w:pPr>
        <w:pStyle w:val="BodyTextIndent"/>
        <w:keepNext/>
        <w:ind w:left="0" w:firstLine="0"/>
        <w:rPr>
          <w:bCs/>
          <w:iCs/>
        </w:rPr>
      </w:pPr>
    </w:p>
    <w:p w14:paraId="271D076F" w14:textId="0AFCFECC" w:rsidR="008C451A" w:rsidRDefault="008C451A" w:rsidP="008C451A">
      <w:r>
        <w:t xml:space="preserve">Universal Declaration of Human Rights (see </w:t>
      </w:r>
      <w:r w:rsidR="00726432" w:rsidRPr="00726432">
        <w:t>http://www.un.org/en/documents/udhr/</w:t>
      </w:r>
      <w:r>
        <w:t xml:space="preserve">) </w:t>
      </w:r>
    </w:p>
    <w:p w14:paraId="1FB30092" w14:textId="77777777" w:rsidR="008C451A" w:rsidRDefault="008C451A" w:rsidP="008C451A"/>
    <w:p w14:paraId="3129B350" w14:textId="77777777" w:rsidR="008C451A" w:rsidRPr="00726432" w:rsidRDefault="008C451A" w:rsidP="008C451A">
      <w:pPr>
        <w:pStyle w:val="BodyTextIndent"/>
        <w:keepNext/>
        <w:rPr>
          <w:b/>
          <w:bCs/>
          <w:i/>
        </w:rPr>
      </w:pPr>
      <w:r w:rsidRPr="00726432">
        <w:rPr>
          <w:b/>
          <w:bCs/>
          <w:i/>
        </w:rPr>
        <w:t>Other r</w:t>
      </w:r>
      <w:r w:rsidRPr="00726432" w:rsidDel="00FE285D">
        <w:rPr>
          <w:b/>
          <w:bCs/>
          <w:i/>
        </w:rPr>
        <w:t>ecommended readings:</w:t>
      </w:r>
    </w:p>
    <w:p w14:paraId="27D0C879" w14:textId="77777777" w:rsidR="008C451A" w:rsidRDefault="008C451A" w:rsidP="008C451A"/>
    <w:p w14:paraId="0FA79D95" w14:textId="77777777" w:rsidR="00AD07E3" w:rsidRDefault="00AD07E3" w:rsidP="00AD07E3">
      <w:pPr>
        <w:pStyle w:val="BodyTextIndent"/>
        <w:keepNext/>
        <w:rPr>
          <w:bCs/>
          <w:iCs/>
        </w:rPr>
      </w:pPr>
      <w:r>
        <w:rPr>
          <w:bCs/>
          <w:iCs/>
        </w:rPr>
        <w:t>Paul</w:t>
      </w:r>
      <w:r w:rsidR="00135C33">
        <w:rPr>
          <w:bCs/>
          <w:iCs/>
        </w:rPr>
        <w:t xml:space="preserve"> Lauren Gordon</w:t>
      </w:r>
      <w:r>
        <w:rPr>
          <w:bCs/>
          <w:iCs/>
        </w:rPr>
        <w:t xml:space="preserve">, </w:t>
      </w:r>
      <w:r>
        <w:rPr>
          <w:bCs/>
          <w:i/>
          <w:iCs/>
        </w:rPr>
        <w:t xml:space="preserve">The Evolution of Human Rights, Visions Seen, </w:t>
      </w:r>
      <w:r>
        <w:rPr>
          <w:bCs/>
          <w:iCs/>
        </w:rPr>
        <w:t>Philadelphia:</w:t>
      </w:r>
    </w:p>
    <w:p w14:paraId="2C550584" w14:textId="77777777" w:rsidR="00AD07E3" w:rsidRPr="00F212BF" w:rsidRDefault="00AD07E3" w:rsidP="00AD07E3">
      <w:pPr>
        <w:pStyle w:val="BodyTextIndent"/>
        <w:keepNext/>
        <w:rPr>
          <w:bCs/>
          <w:iCs/>
        </w:rPr>
      </w:pPr>
      <w:r>
        <w:rPr>
          <w:bCs/>
          <w:iCs/>
        </w:rPr>
        <w:t>University of Pennsylvania Press, 2003, pp. 1-37.</w:t>
      </w:r>
    </w:p>
    <w:p w14:paraId="54C16F1F" w14:textId="77777777" w:rsidR="00AD07E3" w:rsidRDefault="00AD07E3" w:rsidP="008C451A"/>
    <w:p w14:paraId="1BD0CDC2" w14:textId="77777777" w:rsidR="008C451A" w:rsidRDefault="008C451A" w:rsidP="008C451A">
      <w:r>
        <w:t>Jack</w:t>
      </w:r>
      <w:r w:rsidR="00135C33">
        <w:t xml:space="preserve"> Donnelly</w:t>
      </w:r>
      <w:r>
        <w:t xml:space="preserve">, </w:t>
      </w:r>
      <w:r w:rsidR="00135C33">
        <w:t>“</w:t>
      </w:r>
      <w:r w:rsidRPr="00135C33">
        <w:t>The Relative Universality of Human Rights</w:t>
      </w:r>
      <w:r>
        <w:t>,</w:t>
      </w:r>
      <w:r w:rsidR="00135C33">
        <w:t>”</w:t>
      </w:r>
      <w:r>
        <w:t xml:space="preserve"> </w:t>
      </w:r>
      <w:r w:rsidRPr="00135C33">
        <w:rPr>
          <w:i/>
        </w:rPr>
        <w:t>Human Rights Quarterly</w:t>
      </w:r>
      <w:r>
        <w:t xml:space="preserve"> Vol. 29, 2007, pp. 281-306.</w:t>
      </w:r>
    </w:p>
    <w:p w14:paraId="6D8E835A" w14:textId="77777777" w:rsidR="00855770" w:rsidRDefault="00855770" w:rsidP="008C451A"/>
    <w:p w14:paraId="1F58B7A2" w14:textId="77777777" w:rsidR="008C451A" w:rsidRPr="00132DF4" w:rsidRDefault="008C451A" w:rsidP="008C451A">
      <w:r>
        <w:t>Jack</w:t>
      </w:r>
      <w:r w:rsidR="00135C33">
        <w:t xml:space="preserve"> Donnelly</w:t>
      </w:r>
      <w:r>
        <w:t xml:space="preserve">, </w:t>
      </w:r>
      <w:r w:rsidR="00135C33">
        <w:t>“</w:t>
      </w:r>
      <w:r w:rsidRPr="00135C33">
        <w:t xml:space="preserve">Human Rights: Both Universal and relative (A Reply to Michael </w:t>
      </w:r>
      <w:proofErr w:type="spellStart"/>
      <w:r w:rsidRPr="00135C33">
        <w:t>Goodhart</w:t>
      </w:r>
      <w:proofErr w:type="spellEnd"/>
      <w:r w:rsidRPr="00135C33">
        <w:t>),</w:t>
      </w:r>
      <w:r w:rsidR="00135C33">
        <w:t>”</w:t>
      </w:r>
      <w:r>
        <w:rPr>
          <w:i/>
        </w:rPr>
        <w:t xml:space="preserve"> </w:t>
      </w:r>
      <w:r w:rsidRPr="00135C33">
        <w:rPr>
          <w:i/>
        </w:rPr>
        <w:t>Human Rights Quarterly,</w:t>
      </w:r>
      <w:r>
        <w:t xml:space="preserve"> Vol. 30, 2008, pp. 194-204.</w:t>
      </w:r>
    </w:p>
    <w:p w14:paraId="29897A59" w14:textId="77777777" w:rsidR="008C451A" w:rsidRDefault="008C451A" w:rsidP="008C451A"/>
    <w:p w14:paraId="1A278086" w14:textId="77777777" w:rsidR="008C451A" w:rsidRDefault="008C451A" w:rsidP="008C451A">
      <w:r>
        <w:t>Michael</w:t>
      </w:r>
      <w:r w:rsidR="00135C33">
        <w:t xml:space="preserve"> </w:t>
      </w:r>
      <w:proofErr w:type="spellStart"/>
      <w:r w:rsidR="00135C33">
        <w:t>Goodhart</w:t>
      </w:r>
      <w:proofErr w:type="spellEnd"/>
      <w:r>
        <w:t xml:space="preserve">, </w:t>
      </w:r>
      <w:r w:rsidR="00135C33">
        <w:t>“</w:t>
      </w:r>
      <w:r w:rsidRPr="00135C33">
        <w:t>Neither Relative nor Universal: A Response to Donnelly</w:t>
      </w:r>
      <w:r>
        <w:rPr>
          <w:i/>
        </w:rPr>
        <w:t>,</w:t>
      </w:r>
      <w:r w:rsidR="00135C33">
        <w:t>”</w:t>
      </w:r>
      <w:r>
        <w:rPr>
          <w:i/>
        </w:rPr>
        <w:t xml:space="preserve"> </w:t>
      </w:r>
      <w:r w:rsidRPr="00135C33">
        <w:rPr>
          <w:i/>
        </w:rPr>
        <w:t>Human Rights Quarterly,</w:t>
      </w:r>
      <w:r>
        <w:t xml:space="preserve"> Vol. 30, 2008, pp. 183-193.</w:t>
      </w:r>
    </w:p>
    <w:p w14:paraId="787A6680" w14:textId="77777777" w:rsidR="008C451A" w:rsidRPr="00132DF4" w:rsidRDefault="008C451A" w:rsidP="008C451A"/>
    <w:p w14:paraId="0ABB23D4" w14:textId="77777777" w:rsidR="008C451A" w:rsidRPr="00B43837" w:rsidRDefault="008C451A" w:rsidP="008C451A">
      <w:r>
        <w:t>Francisco</w:t>
      </w:r>
      <w:r w:rsidR="00135C33">
        <w:t xml:space="preserve"> Gomes de Matos</w:t>
      </w:r>
      <w:r>
        <w:t xml:space="preserve">, </w:t>
      </w:r>
      <w:r w:rsidR="00135C33">
        <w:t>“</w:t>
      </w:r>
      <w:r w:rsidRPr="00135C33">
        <w:rPr>
          <w:iCs/>
        </w:rPr>
        <w:t>60 Years of the Universal Declaration of Human Rights: A Poem-Plea,</w:t>
      </w:r>
      <w:r w:rsidR="00135C33">
        <w:rPr>
          <w:iCs/>
        </w:rPr>
        <w:t>”</w:t>
      </w:r>
      <w:r>
        <w:rPr>
          <w:i/>
          <w:iCs/>
        </w:rPr>
        <w:t xml:space="preserve"> </w:t>
      </w:r>
      <w:r w:rsidRPr="00135C33">
        <w:rPr>
          <w:i/>
        </w:rPr>
        <w:t>Human Rights Quarterly</w:t>
      </w:r>
      <w:r>
        <w:t>, Vol. 30, 2008.</w:t>
      </w:r>
    </w:p>
    <w:p w14:paraId="485A4213" w14:textId="77777777" w:rsidR="008C451A" w:rsidRDefault="008C451A" w:rsidP="008C451A"/>
    <w:p w14:paraId="49A5A65F" w14:textId="77777777" w:rsidR="008C451A" w:rsidRDefault="008C451A" w:rsidP="008C451A">
      <w:r w:rsidRPr="0016086B">
        <w:rPr>
          <w:iCs/>
        </w:rPr>
        <w:t xml:space="preserve">Irish Times in association with Amnesty International, </w:t>
      </w:r>
      <w:r w:rsidR="00135C33">
        <w:rPr>
          <w:iCs/>
        </w:rPr>
        <w:t>“</w:t>
      </w:r>
      <w:r w:rsidRPr="00135C33">
        <w:rPr>
          <w:iCs/>
        </w:rPr>
        <w:t>From the Republic of Conscience, 30 stories and essays by leading writers (Irish) marking the 60</w:t>
      </w:r>
      <w:r w:rsidRPr="00135C33">
        <w:rPr>
          <w:iCs/>
          <w:vertAlign w:val="superscript"/>
        </w:rPr>
        <w:t>th</w:t>
      </w:r>
      <w:r w:rsidRPr="00135C33">
        <w:rPr>
          <w:iCs/>
        </w:rPr>
        <w:t xml:space="preserve"> anniversary of the Universal Declaration of Human Rights</w:t>
      </w:r>
      <w:r w:rsidRPr="00135C33">
        <w:t>,</w:t>
      </w:r>
      <w:r w:rsidR="00135C33">
        <w:t>”</w:t>
      </w:r>
      <w:r>
        <w:t xml:space="preserve"> </w:t>
      </w:r>
      <w:r w:rsidRPr="00135C33">
        <w:rPr>
          <w:i/>
        </w:rPr>
        <w:t>Irish Times,</w:t>
      </w:r>
      <w:r>
        <w:t xml:space="preserve"> 9</w:t>
      </w:r>
      <w:r w:rsidRPr="002570F4">
        <w:rPr>
          <w:vertAlign w:val="superscript"/>
        </w:rPr>
        <w:t>th</w:t>
      </w:r>
      <w:r>
        <w:t xml:space="preserve"> December 2008.</w:t>
      </w:r>
    </w:p>
    <w:p w14:paraId="72EC71AF" w14:textId="77777777" w:rsidR="008C451A" w:rsidRDefault="008C451A" w:rsidP="008C451A"/>
    <w:p w14:paraId="73D24B58" w14:textId="77777777" w:rsidR="008C451A" w:rsidRDefault="008C451A" w:rsidP="008C451A">
      <w:proofErr w:type="spellStart"/>
      <w:r>
        <w:t>Abdullahi</w:t>
      </w:r>
      <w:proofErr w:type="spellEnd"/>
      <w:r w:rsidR="00135C33">
        <w:t xml:space="preserve"> An-</w:t>
      </w:r>
      <w:proofErr w:type="spellStart"/>
      <w:r w:rsidR="00135C33">
        <w:t>Na’im</w:t>
      </w:r>
      <w:proofErr w:type="spellEnd"/>
      <w:r>
        <w:t xml:space="preserve">, </w:t>
      </w:r>
      <w:r w:rsidR="00135C33">
        <w:t>“</w:t>
      </w:r>
      <w:r w:rsidRPr="00135C33">
        <w:t>Reflections on the Universal Declaration of Human Rights, A Fiftieth Anniversary Anthology</w:t>
      </w:r>
      <w:r>
        <w:rPr>
          <w:i/>
        </w:rPr>
        <w:t>,</w:t>
      </w:r>
      <w:r w:rsidR="00135C33">
        <w:t>”</w:t>
      </w:r>
      <w:r>
        <w:rPr>
          <w:i/>
        </w:rPr>
        <w:t xml:space="preserve"> </w:t>
      </w:r>
      <w:r>
        <w:t xml:space="preserve">in Van Der </w:t>
      </w:r>
      <w:proofErr w:type="spellStart"/>
      <w:r>
        <w:t>Heijden</w:t>
      </w:r>
      <w:proofErr w:type="spellEnd"/>
      <w:r>
        <w:t xml:space="preserve">, </w:t>
      </w:r>
      <w:proofErr w:type="spellStart"/>
      <w:r>
        <w:t>Barend</w:t>
      </w:r>
      <w:proofErr w:type="spellEnd"/>
      <w:r>
        <w:t xml:space="preserve"> and </w:t>
      </w:r>
      <w:proofErr w:type="spellStart"/>
      <w:r>
        <w:t>Tahzib</w:t>
      </w:r>
      <w:proofErr w:type="spellEnd"/>
      <w:r>
        <w:t>-Lie, Bahia (eds.), The Hague: Martinus Nijhoff Publishers, 1998, pp. 45-51.</w:t>
      </w:r>
    </w:p>
    <w:p w14:paraId="65A16A13" w14:textId="77777777" w:rsidR="008C451A" w:rsidRDefault="008C451A" w:rsidP="008C451A"/>
    <w:p w14:paraId="7C6F4586" w14:textId="77777777" w:rsidR="008C451A" w:rsidRDefault="008C451A" w:rsidP="008C451A">
      <w:pPr>
        <w:jc w:val="both"/>
        <w:rPr>
          <w:b/>
          <w:u w:val="single"/>
        </w:rPr>
      </w:pPr>
    </w:p>
    <w:p w14:paraId="53CB11BA" w14:textId="77777777" w:rsidR="008C451A" w:rsidRDefault="003C044D" w:rsidP="008C451A">
      <w:pPr>
        <w:pStyle w:val="BodyTextIndent"/>
        <w:keepNext/>
        <w:ind w:left="3060" w:hanging="3060"/>
        <w:rPr>
          <w:b/>
          <w:bCs/>
        </w:rPr>
      </w:pPr>
      <w:r>
        <w:rPr>
          <w:b/>
          <w:bCs/>
          <w:u w:val="single"/>
        </w:rPr>
        <w:t>Week 2</w:t>
      </w:r>
      <w:r w:rsidR="008C451A" w:rsidRPr="00730EA0">
        <w:rPr>
          <w:b/>
          <w:bCs/>
          <w:u w:val="single"/>
        </w:rPr>
        <w:t>: Treaty Mechanisms of the United Nations</w:t>
      </w:r>
      <w:r w:rsidR="008C451A">
        <w:rPr>
          <w:b/>
          <w:bCs/>
        </w:rPr>
        <w:t xml:space="preserve"> </w:t>
      </w:r>
    </w:p>
    <w:p w14:paraId="3073E3B7" w14:textId="77777777" w:rsidR="008C451A" w:rsidRPr="00A27AD4" w:rsidRDefault="008C451A" w:rsidP="008C451A">
      <w:pPr>
        <w:pStyle w:val="BodyTextIndent"/>
        <w:keepNext/>
        <w:ind w:left="0" w:firstLine="0"/>
        <w:rPr>
          <w:bCs/>
        </w:rPr>
      </w:pPr>
    </w:p>
    <w:p w14:paraId="68F3A078" w14:textId="77777777" w:rsidR="008C451A" w:rsidRDefault="008C451A" w:rsidP="000D34F4">
      <w:pPr>
        <w:numPr>
          <w:ilvl w:val="0"/>
          <w:numId w:val="17"/>
        </w:numPr>
        <w:autoSpaceDE w:val="0"/>
        <w:autoSpaceDN w:val="0"/>
        <w:adjustRightInd w:val="0"/>
        <w:outlineLvl w:val="1"/>
      </w:pPr>
      <w:r w:rsidRPr="00D06EAE">
        <w:t>Treaty mechanisms</w:t>
      </w:r>
    </w:p>
    <w:p w14:paraId="65601640" w14:textId="77777777" w:rsidR="008C451A" w:rsidRDefault="008C451A" w:rsidP="000D34F4">
      <w:pPr>
        <w:numPr>
          <w:ilvl w:val="0"/>
          <w:numId w:val="17"/>
        </w:numPr>
        <w:autoSpaceDE w:val="0"/>
        <w:autoSpaceDN w:val="0"/>
        <w:adjustRightInd w:val="0"/>
        <w:outlineLvl w:val="1"/>
      </w:pPr>
      <w:r w:rsidRPr="00D06EAE">
        <w:t>The main human rights treaties</w:t>
      </w:r>
    </w:p>
    <w:p w14:paraId="32427C5A" w14:textId="77777777" w:rsidR="008C451A" w:rsidRPr="00D06EAE" w:rsidRDefault="008C451A" w:rsidP="000D34F4">
      <w:pPr>
        <w:numPr>
          <w:ilvl w:val="0"/>
          <w:numId w:val="17"/>
        </w:numPr>
        <w:autoSpaceDE w:val="0"/>
        <w:autoSpaceDN w:val="0"/>
        <w:adjustRightInd w:val="0"/>
        <w:outlineLvl w:val="1"/>
      </w:pPr>
      <w:r>
        <w:t>T</w:t>
      </w:r>
      <w:r w:rsidRPr="00D06EAE">
        <w:t>he treaty bodies</w:t>
      </w:r>
    </w:p>
    <w:p w14:paraId="3BA96023" w14:textId="77777777" w:rsidR="008C451A" w:rsidRDefault="008C451A" w:rsidP="008C451A">
      <w:pPr>
        <w:pStyle w:val="BodyTextIndent"/>
        <w:keepNext/>
        <w:ind w:left="3060" w:hanging="3060"/>
        <w:rPr>
          <w:bCs/>
        </w:rPr>
      </w:pPr>
    </w:p>
    <w:p w14:paraId="6BD9F794" w14:textId="77777777" w:rsidR="008C451A" w:rsidRPr="00726432" w:rsidRDefault="008C451A" w:rsidP="008C451A">
      <w:pPr>
        <w:keepNext/>
        <w:rPr>
          <w:b/>
          <w:i/>
        </w:rPr>
      </w:pPr>
      <w:r w:rsidRPr="00726432">
        <w:rPr>
          <w:b/>
          <w:i/>
        </w:rPr>
        <w:t>Essential readings:</w:t>
      </w:r>
    </w:p>
    <w:p w14:paraId="23FBD2F1" w14:textId="77777777" w:rsidR="008C451A" w:rsidRDefault="008C451A" w:rsidP="008C451A">
      <w:pPr>
        <w:rPr>
          <w:i/>
        </w:rPr>
      </w:pPr>
    </w:p>
    <w:p w14:paraId="0ED829DE" w14:textId="77777777" w:rsidR="008C451A" w:rsidRDefault="008C451A" w:rsidP="008C451A">
      <w:r>
        <w:rPr>
          <w:i/>
        </w:rPr>
        <w:t>International Covenant on Civil and Political Rights</w:t>
      </w:r>
      <w:r>
        <w:t>,</w:t>
      </w:r>
      <w:r>
        <w:rPr>
          <w:i/>
        </w:rPr>
        <w:t xml:space="preserve"> </w:t>
      </w:r>
      <w:r>
        <w:t xml:space="preserve">available at: </w:t>
      </w:r>
      <w:hyperlink r:id="rId9" w:history="1">
        <w:r w:rsidRPr="00A16A35">
          <w:rPr>
            <w:rStyle w:val="Hyperlink"/>
          </w:rPr>
          <w:t>http://www.unhchr.ch/html/menu3/b/a_ccpr.htm</w:t>
        </w:r>
      </w:hyperlink>
      <w:r>
        <w:t xml:space="preserve"> </w:t>
      </w:r>
    </w:p>
    <w:p w14:paraId="15CAD39C" w14:textId="77777777" w:rsidR="008C451A" w:rsidRDefault="008C451A" w:rsidP="008C451A">
      <w:pPr>
        <w:rPr>
          <w:i/>
        </w:rPr>
      </w:pPr>
    </w:p>
    <w:p w14:paraId="2124D6B9" w14:textId="77777777" w:rsidR="008C451A" w:rsidRDefault="008C451A" w:rsidP="008C451A">
      <w:r>
        <w:rPr>
          <w:i/>
        </w:rPr>
        <w:t>International Covenant on Economic, Social and Cultural Rights</w:t>
      </w:r>
      <w:r>
        <w:t>,</w:t>
      </w:r>
      <w:r>
        <w:rPr>
          <w:i/>
        </w:rPr>
        <w:t xml:space="preserve"> </w:t>
      </w:r>
      <w:r>
        <w:t xml:space="preserve">available at: </w:t>
      </w:r>
      <w:hyperlink r:id="rId10" w:history="1">
        <w:r w:rsidRPr="00A16A35">
          <w:rPr>
            <w:rStyle w:val="Hyperlink"/>
          </w:rPr>
          <w:t>http://www.unhchr.ch/html/menu3/b/a_cescr.htm</w:t>
        </w:r>
      </w:hyperlink>
      <w:r>
        <w:t xml:space="preserve"> </w:t>
      </w:r>
    </w:p>
    <w:p w14:paraId="1D4E42E3" w14:textId="77777777" w:rsidR="008C451A" w:rsidRDefault="008C451A" w:rsidP="008C451A"/>
    <w:p w14:paraId="5E68C379" w14:textId="77777777" w:rsidR="008C451A" w:rsidRPr="00726432" w:rsidRDefault="008C451A" w:rsidP="008C451A">
      <w:pPr>
        <w:rPr>
          <w:b/>
          <w:i/>
        </w:rPr>
      </w:pPr>
      <w:r w:rsidRPr="00726432">
        <w:rPr>
          <w:b/>
          <w:i/>
        </w:rPr>
        <w:t>Recommended readings:</w:t>
      </w:r>
    </w:p>
    <w:p w14:paraId="741FDDF5" w14:textId="77777777" w:rsidR="008C451A" w:rsidRPr="00E270E2" w:rsidRDefault="008C451A" w:rsidP="008C451A">
      <w:pPr>
        <w:rPr>
          <w:i/>
        </w:rPr>
      </w:pPr>
    </w:p>
    <w:p w14:paraId="0592FA84" w14:textId="77777777" w:rsidR="008C451A" w:rsidRDefault="008C451A" w:rsidP="008C451A">
      <w:r>
        <w:t>James W.</w:t>
      </w:r>
      <w:r w:rsidR="00135C33">
        <w:t xml:space="preserve"> Nickel,</w:t>
      </w:r>
      <w:r>
        <w:t xml:space="preserve"> </w:t>
      </w:r>
      <w:r>
        <w:rPr>
          <w:i/>
        </w:rPr>
        <w:t xml:space="preserve">Rethinking Indivisibility: Towards A Theory of Supporting Relations between Human Rights, </w:t>
      </w:r>
      <w:r>
        <w:t>Human Rights Quarterly, Vol. 30, 2008, pp. 984-1001.</w:t>
      </w:r>
    </w:p>
    <w:p w14:paraId="72A14CD4" w14:textId="77777777" w:rsidR="008C451A" w:rsidRPr="00132DF4" w:rsidRDefault="008C451A" w:rsidP="008C451A"/>
    <w:p w14:paraId="310D47AB" w14:textId="77777777" w:rsidR="008C451A" w:rsidRDefault="008C451A" w:rsidP="008C451A">
      <w:proofErr w:type="gramStart"/>
      <w:r>
        <w:rPr>
          <w:i/>
        </w:rPr>
        <w:t>Report of the Human Rights Committee</w:t>
      </w:r>
      <w:r>
        <w:t>, UN Doc.</w:t>
      </w:r>
      <w:proofErr w:type="gramEnd"/>
      <w:r>
        <w:t xml:space="preserve"> A/57/50 (Vol. I), available at: </w:t>
      </w:r>
      <w:hyperlink r:id="rId11" w:history="1">
        <w:r w:rsidRPr="00A73F74">
          <w:rPr>
            <w:rStyle w:val="Hyperlink"/>
          </w:rPr>
          <w:t>http://www.unhchr.ch/tbs/doc.nsf/(Symbol)/ca7694800da16d53c1256d1600396ea6?Opendocument</w:t>
        </w:r>
      </w:hyperlink>
    </w:p>
    <w:p w14:paraId="65833F43" w14:textId="77777777" w:rsidR="008C451A" w:rsidRDefault="008C451A" w:rsidP="008C451A">
      <w:pPr>
        <w:rPr>
          <w:lang w:val="en-GB"/>
        </w:rPr>
      </w:pPr>
    </w:p>
    <w:p w14:paraId="771EECDD" w14:textId="77777777" w:rsidR="003C044D" w:rsidRPr="00C04024" w:rsidRDefault="003C044D" w:rsidP="003C044D">
      <w:pPr>
        <w:jc w:val="both"/>
      </w:pPr>
    </w:p>
    <w:p w14:paraId="7871E054" w14:textId="471BE5E4" w:rsidR="003C044D" w:rsidRDefault="003C044D" w:rsidP="003C044D">
      <w:pPr>
        <w:jc w:val="both"/>
        <w:rPr>
          <w:b/>
          <w:u w:val="single"/>
        </w:rPr>
      </w:pPr>
      <w:r>
        <w:rPr>
          <w:b/>
          <w:u w:val="single"/>
        </w:rPr>
        <w:t>Week 3.</w:t>
      </w:r>
      <w:r w:rsidRPr="00430973">
        <w:rPr>
          <w:b/>
          <w:u w:val="single"/>
        </w:rPr>
        <w:t xml:space="preserve">  </w:t>
      </w:r>
      <w:r w:rsidR="00F91FA4">
        <w:rPr>
          <w:b/>
          <w:u w:val="single"/>
        </w:rPr>
        <w:t xml:space="preserve">Human Rights and Religion: </w:t>
      </w:r>
      <w:r>
        <w:rPr>
          <w:b/>
          <w:u w:val="single"/>
        </w:rPr>
        <w:t>Islam and Secularism</w:t>
      </w:r>
    </w:p>
    <w:p w14:paraId="43B7F512" w14:textId="77777777" w:rsidR="003C044D" w:rsidRDefault="003C044D" w:rsidP="003C044D">
      <w:pPr>
        <w:jc w:val="both"/>
        <w:rPr>
          <w:b/>
        </w:rPr>
      </w:pPr>
    </w:p>
    <w:p w14:paraId="764B9961" w14:textId="2159F3A9" w:rsidR="00726432" w:rsidRPr="00726432" w:rsidRDefault="00726432" w:rsidP="003C044D">
      <w:pPr>
        <w:jc w:val="both"/>
        <w:rPr>
          <w:b/>
          <w:i/>
        </w:rPr>
      </w:pPr>
      <w:r>
        <w:rPr>
          <w:b/>
          <w:i/>
        </w:rPr>
        <w:t>Essential readings:</w:t>
      </w:r>
    </w:p>
    <w:p w14:paraId="12E54E9F" w14:textId="77777777" w:rsidR="00726432" w:rsidRDefault="00726432" w:rsidP="003C044D">
      <w:pPr>
        <w:jc w:val="both"/>
      </w:pPr>
    </w:p>
    <w:p w14:paraId="03418571" w14:textId="6063B85A" w:rsidR="003C044D" w:rsidRDefault="00726432" w:rsidP="003C044D">
      <w:pPr>
        <w:jc w:val="both"/>
      </w:pPr>
      <w:proofErr w:type="spellStart"/>
      <w:r>
        <w:t>Java</w:t>
      </w:r>
      <w:r w:rsidR="003C044D" w:rsidRPr="005D7A8E">
        <w:t>id</w:t>
      </w:r>
      <w:proofErr w:type="spellEnd"/>
      <w:r w:rsidR="003C044D" w:rsidRPr="005D7A8E">
        <w:t xml:space="preserve"> </w:t>
      </w:r>
      <w:proofErr w:type="spellStart"/>
      <w:r w:rsidR="003C044D" w:rsidRPr="005D7A8E">
        <w:t>Rehman</w:t>
      </w:r>
      <w:proofErr w:type="spellEnd"/>
      <w:r w:rsidR="003C044D" w:rsidRPr="005D7A8E">
        <w:t>,</w:t>
      </w:r>
      <w:r w:rsidR="003C044D">
        <w:rPr>
          <w:b/>
        </w:rPr>
        <w:t xml:space="preserve"> </w:t>
      </w:r>
      <w:r w:rsidR="003C044D" w:rsidRPr="005D7A8E">
        <w:t>“Conflicting Values or Misplaced Interpretations? Examining the Inevitability of a Clash between ‘Religions’ and ‘Human Rights,”’</w:t>
      </w:r>
      <w:r w:rsidR="003C044D">
        <w:t xml:space="preserve"> in </w:t>
      </w:r>
      <w:proofErr w:type="spellStart"/>
      <w:r w:rsidR="003C044D">
        <w:t>Nazila</w:t>
      </w:r>
      <w:proofErr w:type="spellEnd"/>
      <w:r w:rsidR="003C044D">
        <w:t xml:space="preserve"> </w:t>
      </w:r>
      <w:proofErr w:type="spellStart"/>
      <w:r w:rsidR="003C044D">
        <w:t>Ghanea</w:t>
      </w:r>
      <w:proofErr w:type="spellEnd"/>
      <w:r w:rsidR="003C044D">
        <w:t xml:space="preserve">, Alan Stephens and Raphael Walden (eds.), </w:t>
      </w:r>
      <w:r w:rsidR="003C044D">
        <w:rPr>
          <w:i/>
        </w:rPr>
        <w:t xml:space="preserve">Does God Believe in Human Rights? Essays on Religion and Human Rights, </w:t>
      </w:r>
      <w:r w:rsidR="003C044D">
        <w:t xml:space="preserve">Leiden and Boston: </w:t>
      </w:r>
      <w:proofErr w:type="spellStart"/>
      <w:r w:rsidR="003C044D">
        <w:t>Martinua</w:t>
      </w:r>
      <w:proofErr w:type="spellEnd"/>
      <w:r w:rsidR="003C044D">
        <w:t xml:space="preserve"> </w:t>
      </w:r>
      <w:proofErr w:type="spellStart"/>
      <w:r w:rsidR="003C044D">
        <w:t>Nijhoff</w:t>
      </w:r>
      <w:proofErr w:type="spellEnd"/>
      <w:r w:rsidR="003C044D">
        <w:t xml:space="preserve"> </w:t>
      </w:r>
      <w:proofErr w:type="spellStart"/>
      <w:r w:rsidR="003C044D">
        <w:t>Publihsers</w:t>
      </w:r>
      <w:proofErr w:type="spellEnd"/>
      <w:r w:rsidR="003C044D">
        <w:t>, 2007, pp. 65-89</w:t>
      </w:r>
    </w:p>
    <w:p w14:paraId="5242A7FF" w14:textId="77777777" w:rsidR="003C044D" w:rsidRDefault="003C044D" w:rsidP="003C044D">
      <w:pPr>
        <w:jc w:val="both"/>
      </w:pPr>
    </w:p>
    <w:p w14:paraId="7B345EC3" w14:textId="560DE2B1" w:rsidR="00855770" w:rsidRPr="00855770" w:rsidRDefault="00855770" w:rsidP="00855770">
      <w:pPr>
        <w:jc w:val="both"/>
      </w:pPr>
      <w:r>
        <w:t>Lori Allen, “</w:t>
      </w:r>
      <w:r w:rsidRPr="00855770">
        <w:t>Studying Human Rights in the Middle East: Lingua Franca of Global Politics or Forked Tongue of Donors</w:t>
      </w:r>
      <w:r w:rsidRPr="00855770">
        <w:rPr>
          <w:i/>
        </w:rPr>
        <w:t>?</w:t>
      </w:r>
      <w:proofErr w:type="gramStart"/>
      <w:r w:rsidRPr="00855770">
        <w:rPr>
          <w:i/>
        </w:rPr>
        <w:t>”,</w:t>
      </w:r>
      <w:proofErr w:type="gramEnd"/>
      <w:r w:rsidRPr="00855770">
        <w:rPr>
          <w:i/>
        </w:rPr>
        <w:t xml:space="preserve"> Int. J. Middle East Stud</w:t>
      </w:r>
      <w:r w:rsidRPr="00855770">
        <w:t>. 48 (2016), 357–361</w:t>
      </w:r>
    </w:p>
    <w:p w14:paraId="71F265B2" w14:textId="77777777" w:rsidR="00855770" w:rsidRDefault="00855770" w:rsidP="003C044D">
      <w:pPr>
        <w:jc w:val="both"/>
      </w:pPr>
    </w:p>
    <w:p w14:paraId="6233B117" w14:textId="77777777" w:rsidR="003C044D" w:rsidRPr="007C782D" w:rsidRDefault="003C044D" w:rsidP="003C044D">
      <w:pPr>
        <w:jc w:val="both"/>
        <w:rPr>
          <w:b/>
        </w:rPr>
      </w:pPr>
      <w:proofErr w:type="spellStart"/>
      <w:r>
        <w:t>Mashood</w:t>
      </w:r>
      <w:proofErr w:type="spellEnd"/>
      <w:r>
        <w:t xml:space="preserve"> </w:t>
      </w:r>
      <w:proofErr w:type="spellStart"/>
      <w:r>
        <w:t>Baderin</w:t>
      </w:r>
      <w:proofErr w:type="spellEnd"/>
      <w:r>
        <w:t xml:space="preserve">, “The Role of Islam in Human Rights and Development in Muslim States,” in </w:t>
      </w:r>
      <w:proofErr w:type="spellStart"/>
      <w:r>
        <w:t>Javaid</w:t>
      </w:r>
      <w:proofErr w:type="spellEnd"/>
      <w:r>
        <w:t xml:space="preserve"> </w:t>
      </w:r>
      <w:proofErr w:type="spellStart"/>
      <w:r>
        <w:t>Rehman</w:t>
      </w:r>
      <w:proofErr w:type="spellEnd"/>
      <w:r>
        <w:t xml:space="preserve"> &amp; </w:t>
      </w:r>
      <w:proofErr w:type="spellStart"/>
      <w:r>
        <w:t>Sussan</w:t>
      </w:r>
      <w:proofErr w:type="spellEnd"/>
      <w:r>
        <w:t xml:space="preserve"> C. </w:t>
      </w:r>
      <w:proofErr w:type="spellStart"/>
      <w:r>
        <w:t>Breau</w:t>
      </w:r>
      <w:proofErr w:type="spellEnd"/>
      <w:r>
        <w:t xml:space="preserve"> (eds.), </w:t>
      </w:r>
      <w:r>
        <w:rPr>
          <w:i/>
        </w:rPr>
        <w:t xml:space="preserve">Religion, Human Rights and International Law, A Critical Examination of Islamic State Practices, </w:t>
      </w:r>
      <w:r>
        <w:t xml:space="preserve">Leiden and Boston: </w:t>
      </w:r>
      <w:proofErr w:type="spellStart"/>
      <w:r>
        <w:t>Martinus</w:t>
      </w:r>
      <w:proofErr w:type="spellEnd"/>
      <w:r>
        <w:t xml:space="preserve"> </w:t>
      </w:r>
      <w:proofErr w:type="spellStart"/>
      <w:r>
        <w:t>NNijhoff</w:t>
      </w:r>
      <w:proofErr w:type="spellEnd"/>
      <w:r>
        <w:t xml:space="preserve"> Publishers, 2007, pp. 321-359.</w:t>
      </w:r>
    </w:p>
    <w:p w14:paraId="741D9A64" w14:textId="77777777" w:rsidR="003C044D" w:rsidRDefault="003C044D" w:rsidP="003C044D">
      <w:pPr>
        <w:jc w:val="both"/>
        <w:rPr>
          <w:b/>
        </w:rPr>
      </w:pPr>
    </w:p>
    <w:p w14:paraId="2EB8E2C5" w14:textId="77777777" w:rsidR="003C044D" w:rsidRPr="00C04024" w:rsidRDefault="003C044D" w:rsidP="003C044D">
      <w:pPr>
        <w:jc w:val="both"/>
      </w:pPr>
      <w:r w:rsidRPr="00FC7032">
        <w:t xml:space="preserve">Mayer, Elizabeth Ann, </w:t>
      </w:r>
      <w:r w:rsidR="00135C33">
        <w:t>“</w:t>
      </w:r>
      <w:r w:rsidRPr="00135C33">
        <w:t>The Islam and Human Rights Nexus: Shifting Dimensions,</w:t>
      </w:r>
      <w:r w:rsidR="00135C33">
        <w:t>”</w:t>
      </w:r>
      <w:r w:rsidRPr="00FC7032">
        <w:rPr>
          <w:i/>
        </w:rPr>
        <w:t xml:space="preserve"> </w:t>
      </w:r>
      <w:r w:rsidRPr="00135C33">
        <w:rPr>
          <w:i/>
        </w:rPr>
        <w:t>Muslim World Journal of Human Rights</w:t>
      </w:r>
      <w:r w:rsidRPr="00FC7032">
        <w:t>, Vol. 4, Issue 1, Art. 4,</w:t>
      </w:r>
      <w:r>
        <w:t xml:space="preserve"> 2007, pp. 1-27.</w:t>
      </w:r>
      <w:r w:rsidRPr="00C04024">
        <w:t xml:space="preserve"> </w:t>
      </w:r>
    </w:p>
    <w:p w14:paraId="05E05D89" w14:textId="77777777" w:rsidR="003C044D" w:rsidRDefault="003C044D" w:rsidP="003C044D">
      <w:pPr>
        <w:keepNext/>
        <w:ind w:firstLine="360"/>
      </w:pPr>
    </w:p>
    <w:p w14:paraId="0B710C91" w14:textId="77777777" w:rsidR="003C044D" w:rsidRPr="00EE50DF" w:rsidRDefault="003C044D" w:rsidP="003C044D">
      <w:pPr>
        <w:jc w:val="both"/>
      </w:pPr>
      <w:proofErr w:type="spellStart"/>
      <w:r>
        <w:t>Abdullahi</w:t>
      </w:r>
      <w:proofErr w:type="spellEnd"/>
      <w:r>
        <w:t xml:space="preserve"> An-</w:t>
      </w:r>
      <w:proofErr w:type="spellStart"/>
      <w:r>
        <w:t>Naim</w:t>
      </w:r>
      <w:proofErr w:type="spellEnd"/>
      <w:r>
        <w:t xml:space="preserve">, “ ‘The Best of Times’ and ‘The Worst of Times’: Human </w:t>
      </w:r>
      <w:proofErr w:type="spellStart"/>
      <w:r>
        <w:t>Rgency</w:t>
      </w:r>
      <w:proofErr w:type="spellEnd"/>
      <w:r>
        <w:t xml:space="preserve"> and Human Rights in Islamic Societies,” </w:t>
      </w:r>
      <w:r>
        <w:rPr>
          <w:i/>
        </w:rPr>
        <w:t xml:space="preserve">Muslim </w:t>
      </w:r>
      <w:proofErr w:type="spellStart"/>
      <w:r>
        <w:rPr>
          <w:i/>
        </w:rPr>
        <w:t>Worl</w:t>
      </w:r>
      <w:proofErr w:type="spellEnd"/>
      <w:r>
        <w:rPr>
          <w:i/>
        </w:rPr>
        <w:t xml:space="preserve"> Journal of Human Rights, </w:t>
      </w:r>
      <w:r>
        <w:t>Vol. 1, Issue 1, 2004, pp. 1-12.</w:t>
      </w:r>
    </w:p>
    <w:p w14:paraId="0AFBC835" w14:textId="77777777" w:rsidR="003C044D" w:rsidRPr="0009200F" w:rsidRDefault="003C044D" w:rsidP="003C044D">
      <w:pPr>
        <w:jc w:val="both"/>
        <w:rPr>
          <w:b/>
        </w:rPr>
      </w:pPr>
    </w:p>
    <w:p w14:paraId="0FB41882" w14:textId="6CA44DDA" w:rsidR="0009200F" w:rsidRPr="00726432" w:rsidRDefault="00726432" w:rsidP="003C044D">
      <w:pPr>
        <w:jc w:val="both"/>
        <w:rPr>
          <w:b/>
        </w:rPr>
      </w:pPr>
      <w:r w:rsidRPr="00726432">
        <w:rPr>
          <w:b/>
          <w:bCs/>
          <w:i/>
        </w:rPr>
        <w:t>Other r</w:t>
      </w:r>
      <w:r w:rsidRPr="00726432" w:rsidDel="00FE285D">
        <w:rPr>
          <w:b/>
          <w:bCs/>
          <w:i/>
        </w:rPr>
        <w:t>ecommended readings:</w:t>
      </w:r>
    </w:p>
    <w:p w14:paraId="71777A48" w14:textId="77777777" w:rsidR="0009200F" w:rsidRDefault="0009200F" w:rsidP="0009200F">
      <w:pPr>
        <w:jc w:val="both"/>
      </w:pPr>
    </w:p>
    <w:p w14:paraId="0B1CF88A" w14:textId="5A4BC64E" w:rsidR="0009200F" w:rsidRDefault="0009200F" w:rsidP="003C044D">
      <w:pPr>
        <w:jc w:val="both"/>
      </w:pPr>
      <w:proofErr w:type="spellStart"/>
      <w:r>
        <w:t>Abdullahi</w:t>
      </w:r>
      <w:proofErr w:type="spellEnd"/>
      <w:r>
        <w:t xml:space="preserve"> An-</w:t>
      </w:r>
      <w:proofErr w:type="spellStart"/>
      <w:r>
        <w:t>Na’im</w:t>
      </w:r>
      <w:proofErr w:type="spellEnd"/>
      <w:r>
        <w:t xml:space="preserve">, </w:t>
      </w:r>
      <w:r w:rsidR="0037697F">
        <w:rPr>
          <w:i/>
        </w:rPr>
        <w:t>Islam and the Secular State:</w:t>
      </w:r>
      <w:r>
        <w:rPr>
          <w:i/>
        </w:rPr>
        <w:t xml:space="preserve"> Negotiating the Future of </w:t>
      </w:r>
      <w:proofErr w:type="spellStart"/>
      <w:r>
        <w:rPr>
          <w:i/>
        </w:rPr>
        <w:t>Shari’a</w:t>
      </w:r>
      <w:proofErr w:type="spellEnd"/>
      <w:r>
        <w:rPr>
          <w:i/>
        </w:rPr>
        <w:t xml:space="preserve">, </w:t>
      </w:r>
      <w:r>
        <w:t>Cambridge, MA: Harvard University Press, 2008, pp. 1-45.</w:t>
      </w:r>
    </w:p>
    <w:p w14:paraId="3B6F0DF4" w14:textId="77777777" w:rsidR="00F91FA4" w:rsidRDefault="00F91FA4" w:rsidP="003C044D">
      <w:pPr>
        <w:jc w:val="both"/>
      </w:pPr>
    </w:p>
    <w:p w14:paraId="2E771219" w14:textId="77777777" w:rsidR="00F91FA4" w:rsidRPr="00F91FA4" w:rsidRDefault="00F91FA4" w:rsidP="003C044D">
      <w:pPr>
        <w:jc w:val="both"/>
      </w:pPr>
    </w:p>
    <w:p w14:paraId="358F959C" w14:textId="77777777" w:rsidR="0009200F" w:rsidRDefault="0009200F" w:rsidP="003C044D">
      <w:pPr>
        <w:jc w:val="both"/>
      </w:pPr>
    </w:p>
    <w:p w14:paraId="3CB74F57" w14:textId="77777777" w:rsidR="008C451A" w:rsidRPr="00072D2A" w:rsidRDefault="008C451A" w:rsidP="008C451A">
      <w:pPr>
        <w:ind w:left="720"/>
        <w:jc w:val="both"/>
      </w:pPr>
    </w:p>
    <w:p w14:paraId="5F6B812A" w14:textId="77777777" w:rsidR="008C451A" w:rsidRPr="00730EA0" w:rsidRDefault="001A4BF3" w:rsidP="008C451A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Week 4</w:t>
      </w:r>
      <w:r w:rsidR="008C451A" w:rsidRPr="00730EA0">
        <w:rPr>
          <w:b/>
          <w:u w:val="single"/>
        </w:rPr>
        <w:t xml:space="preserve">: Women’s Rights </w:t>
      </w:r>
    </w:p>
    <w:p w14:paraId="3A4709D1" w14:textId="77777777" w:rsidR="008C451A" w:rsidRPr="00730EA0" w:rsidRDefault="008C451A" w:rsidP="008C451A">
      <w:pPr>
        <w:jc w:val="both"/>
        <w:rPr>
          <w:b/>
          <w:u w:val="single"/>
        </w:rPr>
      </w:pPr>
    </w:p>
    <w:p w14:paraId="52505D6F" w14:textId="77777777" w:rsidR="008C451A" w:rsidRPr="00AD07E3" w:rsidRDefault="000D34F4" w:rsidP="008C451A">
      <w:pPr>
        <w:numPr>
          <w:ilvl w:val="0"/>
          <w:numId w:val="16"/>
        </w:numPr>
        <w:jc w:val="both"/>
        <w:rPr>
          <w:b/>
          <w:u w:val="single"/>
        </w:rPr>
      </w:pPr>
      <w:r>
        <w:t>Women’s rights as human r</w:t>
      </w:r>
      <w:r w:rsidR="008C451A" w:rsidRPr="00730EA0">
        <w:t>ights</w:t>
      </w:r>
    </w:p>
    <w:p w14:paraId="701D423D" w14:textId="77777777" w:rsidR="00AD07E3" w:rsidRPr="002570F4" w:rsidRDefault="000D34F4" w:rsidP="008C451A">
      <w:pPr>
        <w:numPr>
          <w:ilvl w:val="0"/>
          <w:numId w:val="16"/>
        </w:numPr>
        <w:jc w:val="both"/>
        <w:rPr>
          <w:b/>
          <w:u w:val="single"/>
        </w:rPr>
      </w:pPr>
      <w:r>
        <w:t>Women’s r</w:t>
      </w:r>
      <w:r w:rsidR="00AD07E3">
        <w:t>ights under Islamic</w:t>
      </w:r>
      <w:r>
        <w:t xml:space="preserve"> l</w:t>
      </w:r>
      <w:r w:rsidR="00AD07E3">
        <w:t>aw(s)</w:t>
      </w:r>
    </w:p>
    <w:p w14:paraId="2D8312FA" w14:textId="77777777" w:rsidR="008C451A" w:rsidRPr="002570F4" w:rsidRDefault="008C451A" w:rsidP="008C451A">
      <w:pPr>
        <w:numPr>
          <w:ilvl w:val="0"/>
          <w:numId w:val="16"/>
        </w:numPr>
        <w:jc w:val="both"/>
        <w:rPr>
          <w:b/>
          <w:u w:val="single"/>
        </w:rPr>
      </w:pPr>
      <w:r w:rsidRPr="00730EA0">
        <w:t>The Convention of Elimination of All Forms of Discrimination against Women (CEDAW)</w:t>
      </w:r>
    </w:p>
    <w:p w14:paraId="187BBB31" w14:textId="77777777" w:rsidR="008C451A" w:rsidRPr="003C044D" w:rsidRDefault="008C451A" w:rsidP="008C451A">
      <w:pPr>
        <w:numPr>
          <w:ilvl w:val="0"/>
          <w:numId w:val="16"/>
        </w:numPr>
        <w:jc w:val="both"/>
        <w:rPr>
          <w:b/>
          <w:u w:val="single"/>
        </w:rPr>
      </w:pPr>
      <w:r w:rsidRPr="00730EA0">
        <w:t>Reservations (Religious Reservations to CEDAW)</w:t>
      </w:r>
    </w:p>
    <w:p w14:paraId="5DC90D62" w14:textId="77777777" w:rsidR="003C044D" w:rsidRDefault="003C044D" w:rsidP="003C044D">
      <w:pPr>
        <w:jc w:val="both"/>
      </w:pPr>
    </w:p>
    <w:p w14:paraId="0513467E" w14:textId="77777777" w:rsidR="003C044D" w:rsidRPr="00135C33" w:rsidRDefault="003C044D" w:rsidP="003C044D">
      <w:pPr>
        <w:jc w:val="both"/>
        <w:rPr>
          <w:b/>
          <w:u w:val="single"/>
        </w:rPr>
      </w:pPr>
      <w:r w:rsidRPr="00135C33">
        <w:rPr>
          <w:b/>
        </w:rPr>
        <w:t>Case Study: One Million Signatures Campaign to End Legal Discriminations Against Women, Iran</w:t>
      </w:r>
    </w:p>
    <w:p w14:paraId="4F83F3BD" w14:textId="77777777" w:rsidR="008C451A" w:rsidRDefault="008C451A" w:rsidP="008C451A">
      <w:pPr>
        <w:jc w:val="both"/>
      </w:pPr>
    </w:p>
    <w:p w14:paraId="142A7AB2" w14:textId="77777777" w:rsidR="00D468E5" w:rsidRDefault="00D468E5" w:rsidP="008C451A">
      <w:pPr>
        <w:jc w:val="both"/>
      </w:pPr>
      <w:r w:rsidRPr="00730EA0">
        <w:t xml:space="preserve">The Convention of Elimination of All Forms of Discrimination against Women </w:t>
      </w:r>
      <w:r>
        <w:t>(</w:t>
      </w:r>
      <w:r w:rsidR="008C451A">
        <w:t>CEDAW</w:t>
      </w:r>
      <w:r>
        <w:t>):</w:t>
      </w:r>
    </w:p>
    <w:p w14:paraId="3CB1BAC2" w14:textId="543306D4" w:rsidR="008C451A" w:rsidRDefault="004F324A" w:rsidP="008C451A">
      <w:pPr>
        <w:jc w:val="both"/>
      </w:pPr>
      <w:hyperlink r:id="rId12" w:history="1">
        <w:r w:rsidR="00F91FA4" w:rsidRPr="00234714">
          <w:rPr>
            <w:rStyle w:val="Hyperlink"/>
          </w:rPr>
          <w:t>http://www.ohchr.org/EN/ProfessionalInterest/Pages/CEDAW.aspx</w:t>
        </w:r>
      </w:hyperlink>
    </w:p>
    <w:p w14:paraId="147609E7" w14:textId="77777777" w:rsidR="00F91FA4" w:rsidRDefault="00F91FA4" w:rsidP="008C451A">
      <w:pPr>
        <w:jc w:val="both"/>
      </w:pPr>
    </w:p>
    <w:p w14:paraId="4499DF83" w14:textId="5785A1C5" w:rsidR="00F91FA4" w:rsidRDefault="00F91FA4" w:rsidP="008C451A">
      <w:pPr>
        <w:jc w:val="both"/>
      </w:pPr>
      <w:r>
        <w:t xml:space="preserve">Women’s Rights are Human Rights, Office of the </w:t>
      </w:r>
      <w:r w:rsidR="0037697F">
        <w:t xml:space="preserve">UN </w:t>
      </w:r>
      <w:r>
        <w:t>High Commissioner</w:t>
      </w:r>
      <w:r w:rsidR="0037697F">
        <w:t xml:space="preserve"> for Human Rights</w:t>
      </w:r>
      <w:r>
        <w:t xml:space="preserve">, Geneva and New York, 2014. </w:t>
      </w:r>
    </w:p>
    <w:p w14:paraId="2AE9CDF1" w14:textId="4780EE39" w:rsidR="009B425A" w:rsidRDefault="004F324A" w:rsidP="008C451A">
      <w:pPr>
        <w:jc w:val="both"/>
      </w:pPr>
      <w:hyperlink r:id="rId13" w:history="1">
        <w:r w:rsidR="009B425A" w:rsidRPr="00234714">
          <w:rPr>
            <w:rStyle w:val="Hyperlink"/>
          </w:rPr>
          <w:t>http://www.ohchr.org/Documents/Events/WHRD/WomenRightsAreHR.pdf</w:t>
        </w:r>
      </w:hyperlink>
    </w:p>
    <w:p w14:paraId="57C5DD9F" w14:textId="77777777" w:rsidR="008C451A" w:rsidRDefault="008C451A" w:rsidP="008C451A">
      <w:pPr>
        <w:jc w:val="both"/>
      </w:pPr>
    </w:p>
    <w:p w14:paraId="0C9CC838" w14:textId="4A799051" w:rsidR="00726432" w:rsidRPr="00726432" w:rsidRDefault="00726432" w:rsidP="00726432">
      <w:pPr>
        <w:jc w:val="both"/>
      </w:pPr>
      <w:r>
        <w:t>“</w:t>
      </w:r>
      <w:r w:rsidRPr="00726432">
        <w:t>A Fact Sheet on CEDAW: Treaty for the Rights of Women</w:t>
      </w:r>
      <w:r>
        <w:t>,” Amnesty International</w:t>
      </w:r>
      <w:r w:rsidR="009B425A">
        <w:t>, 2005</w:t>
      </w:r>
    </w:p>
    <w:p w14:paraId="5D908720" w14:textId="77777777" w:rsidR="00726432" w:rsidRDefault="00726432" w:rsidP="008C451A">
      <w:pPr>
        <w:jc w:val="both"/>
      </w:pPr>
    </w:p>
    <w:p w14:paraId="5CD3F986" w14:textId="77777777" w:rsidR="008C451A" w:rsidRPr="00201A2A" w:rsidRDefault="008C451A" w:rsidP="008C451A">
      <w:pPr>
        <w:jc w:val="both"/>
      </w:pPr>
      <w:r w:rsidRPr="00201A2A">
        <w:t>Rachael Lorna</w:t>
      </w:r>
      <w:r w:rsidR="00135C33">
        <w:t xml:space="preserve"> </w:t>
      </w:r>
      <w:proofErr w:type="spellStart"/>
      <w:r w:rsidR="00135C33">
        <w:t>Johnstone</w:t>
      </w:r>
      <w:proofErr w:type="spellEnd"/>
      <w:r w:rsidRPr="00201A2A">
        <w:t xml:space="preserve">, </w:t>
      </w:r>
      <w:r w:rsidR="00135C33">
        <w:t>“</w:t>
      </w:r>
      <w:r w:rsidRPr="00135C33">
        <w:t>Feminist Influences on the United Nations Human Rights</w:t>
      </w:r>
      <w:r w:rsidRPr="00201A2A">
        <w:rPr>
          <w:i/>
        </w:rPr>
        <w:t xml:space="preserve"> </w:t>
      </w:r>
      <w:r w:rsidRPr="00135C33">
        <w:t>Treaty Bodies</w:t>
      </w:r>
      <w:r w:rsidRPr="00135C33">
        <w:rPr>
          <w:i/>
        </w:rPr>
        <w:t>,</w:t>
      </w:r>
      <w:r w:rsidR="00135C33" w:rsidRPr="00135C33">
        <w:rPr>
          <w:i/>
        </w:rPr>
        <w:t>”</w:t>
      </w:r>
      <w:r w:rsidRPr="00135C33">
        <w:rPr>
          <w:i/>
        </w:rPr>
        <w:t xml:space="preserve"> Human Rights Quarterly</w:t>
      </w:r>
      <w:r w:rsidRPr="00201A2A">
        <w:t>, Vol. 28, 2006, pp. 148-185.</w:t>
      </w:r>
    </w:p>
    <w:p w14:paraId="5090C98A" w14:textId="77777777" w:rsidR="00726432" w:rsidRDefault="00726432" w:rsidP="008C451A">
      <w:pPr>
        <w:jc w:val="both"/>
      </w:pPr>
    </w:p>
    <w:p w14:paraId="6F4C3AD7" w14:textId="7CF2642E" w:rsidR="0009200F" w:rsidRDefault="00726432" w:rsidP="008C451A">
      <w:pPr>
        <w:jc w:val="both"/>
      </w:pPr>
      <w:r>
        <w:t xml:space="preserve">Lila Abu </w:t>
      </w:r>
      <w:proofErr w:type="spellStart"/>
      <w:r>
        <w:t>Lugho</w:t>
      </w:r>
      <w:r w:rsidR="0009200F">
        <w:t>d</w:t>
      </w:r>
      <w:proofErr w:type="spellEnd"/>
      <w:r>
        <w:t>, “</w:t>
      </w:r>
      <w:r w:rsidRPr="00726432">
        <w:t>Do Muslim Women Really Need Saving? Anthropological Reflections on Cultural Relativism and Its Others</w:t>
      </w:r>
      <w:r>
        <w:t xml:space="preserve">,” </w:t>
      </w:r>
      <w:r>
        <w:rPr>
          <w:i/>
        </w:rPr>
        <w:t>American Anthropologist, 104(3)</w:t>
      </w:r>
      <w:r>
        <w:t>: 783-790.</w:t>
      </w:r>
    </w:p>
    <w:p w14:paraId="2D2315B3" w14:textId="77777777" w:rsidR="009B425A" w:rsidRDefault="009B425A" w:rsidP="008C451A">
      <w:pPr>
        <w:jc w:val="both"/>
      </w:pPr>
    </w:p>
    <w:p w14:paraId="76DDE3E6" w14:textId="03E79F68" w:rsidR="00F30868" w:rsidRDefault="00F30868" w:rsidP="008C451A">
      <w:pPr>
        <w:jc w:val="both"/>
      </w:pPr>
      <w:r>
        <w:t xml:space="preserve">Campaign </w:t>
      </w:r>
      <w:r w:rsidR="009B425A">
        <w:t xml:space="preserve">Example (multimedia): </w:t>
      </w:r>
      <w:r>
        <w:t xml:space="preserve">Human Rights Watch, </w:t>
      </w:r>
      <w:r w:rsidR="009B425A">
        <w:t>Saudi Arabia: End Male Guardianship</w:t>
      </w:r>
    </w:p>
    <w:p w14:paraId="569742B9" w14:textId="67CC0402" w:rsidR="009B425A" w:rsidRPr="00726432" w:rsidRDefault="009B425A" w:rsidP="009B425A">
      <w:pPr>
        <w:jc w:val="both"/>
      </w:pPr>
      <w:hyperlink r:id="rId14" w:history="1">
        <w:r w:rsidRPr="00234714">
          <w:rPr>
            <w:rStyle w:val="Hyperlink"/>
          </w:rPr>
          <w:t>https://www.hrw.org/endmaleguardianship</w:t>
        </w:r>
      </w:hyperlink>
      <w:r>
        <w:t xml:space="preserve"> </w:t>
      </w:r>
    </w:p>
    <w:p w14:paraId="5A7A3075" w14:textId="77777777" w:rsidR="0009200F" w:rsidRDefault="0009200F" w:rsidP="008C451A">
      <w:pPr>
        <w:jc w:val="both"/>
      </w:pPr>
    </w:p>
    <w:p w14:paraId="68F06A2C" w14:textId="77777777" w:rsidR="004071D2" w:rsidRDefault="004071D2" w:rsidP="004071D2">
      <w:pPr>
        <w:pStyle w:val="BodyTextIndent"/>
        <w:keepNext/>
        <w:rPr>
          <w:b/>
          <w:bCs/>
          <w:i/>
        </w:rPr>
      </w:pPr>
      <w:r w:rsidRPr="00726432">
        <w:rPr>
          <w:b/>
          <w:bCs/>
          <w:i/>
        </w:rPr>
        <w:t>Other r</w:t>
      </w:r>
      <w:r w:rsidRPr="00726432" w:rsidDel="00FE285D">
        <w:rPr>
          <w:b/>
          <w:bCs/>
          <w:i/>
        </w:rPr>
        <w:t>ecommended readings:</w:t>
      </w:r>
    </w:p>
    <w:p w14:paraId="6A2605A7" w14:textId="77777777" w:rsidR="004071D2" w:rsidRPr="00726432" w:rsidRDefault="004071D2" w:rsidP="004071D2">
      <w:pPr>
        <w:pStyle w:val="BodyTextIndent"/>
        <w:keepNext/>
        <w:rPr>
          <w:b/>
          <w:bCs/>
          <w:i/>
        </w:rPr>
      </w:pPr>
    </w:p>
    <w:p w14:paraId="00F0FF87" w14:textId="77777777" w:rsidR="008C451A" w:rsidRDefault="008C451A" w:rsidP="008C451A">
      <w:pPr>
        <w:jc w:val="both"/>
      </w:pPr>
      <w:r>
        <w:t>Hilary</w:t>
      </w:r>
      <w:r w:rsidR="00135C33">
        <w:t xml:space="preserve"> </w:t>
      </w:r>
      <w:proofErr w:type="spellStart"/>
      <w:r w:rsidR="00135C33">
        <w:t>Charlesworth</w:t>
      </w:r>
      <w:proofErr w:type="spellEnd"/>
      <w:r>
        <w:t xml:space="preserve">, </w:t>
      </w:r>
      <w:r w:rsidR="00135C33">
        <w:t>“</w:t>
      </w:r>
      <w:r w:rsidRPr="00135C33">
        <w:t>Feminist Methods in International Law,</w:t>
      </w:r>
      <w:r w:rsidR="00135C33">
        <w:t>”</w:t>
      </w:r>
      <w:r>
        <w:rPr>
          <w:i/>
        </w:rPr>
        <w:t xml:space="preserve"> </w:t>
      </w:r>
      <w:r w:rsidRPr="00135C33">
        <w:rPr>
          <w:i/>
        </w:rPr>
        <w:t xml:space="preserve">The American Journal of International Law, </w:t>
      </w:r>
      <w:r>
        <w:t>Vol. 93, No. 2, April 1999, pp. 379-394.</w:t>
      </w:r>
    </w:p>
    <w:p w14:paraId="1A6193BE" w14:textId="77777777" w:rsidR="0009200F" w:rsidRDefault="0009200F" w:rsidP="0009200F">
      <w:pPr>
        <w:jc w:val="both"/>
      </w:pPr>
    </w:p>
    <w:p w14:paraId="3D37A27E" w14:textId="77777777" w:rsidR="0009200F" w:rsidRDefault="0009200F" w:rsidP="0009200F">
      <w:pPr>
        <w:jc w:val="both"/>
      </w:pPr>
      <w:proofErr w:type="spellStart"/>
      <w:r w:rsidRPr="00FE428F">
        <w:t>Schöpp</w:t>
      </w:r>
      <w:proofErr w:type="spellEnd"/>
      <w:r w:rsidRPr="00FE428F">
        <w:t xml:space="preserve">-Schilling, Hanna </w:t>
      </w:r>
      <w:proofErr w:type="spellStart"/>
      <w:r w:rsidRPr="00FE428F">
        <w:t>Beate</w:t>
      </w:r>
      <w:proofErr w:type="spellEnd"/>
      <w:r w:rsidRPr="00FE428F">
        <w:t xml:space="preserve">, </w:t>
      </w:r>
      <w:r>
        <w:t>“</w:t>
      </w:r>
      <w:r w:rsidRPr="00135C33">
        <w:t>Treaty Body Reform: the Case of the Committee on the Elimination of Discrimination Against Women,</w:t>
      </w:r>
      <w:r>
        <w:t>”</w:t>
      </w:r>
      <w:r w:rsidRPr="00FE428F">
        <w:rPr>
          <w:i/>
        </w:rPr>
        <w:t xml:space="preserve"> </w:t>
      </w:r>
      <w:r w:rsidRPr="00135C33">
        <w:rPr>
          <w:i/>
        </w:rPr>
        <w:t>Human Rights Law Review</w:t>
      </w:r>
      <w:r w:rsidRPr="00FE428F">
        <w:t>, Vol. 7, Issue 1, 2007, pp. 201-224</w:t>
      </w:r>
      <w:r>
        <w:t>.</w:t>
      </w:r>
    </w:p>
    <w:p w14:paraId="38879484" w14:textId="77777777" w:rsidR="008C451A" w:rsidRPr="00730EA0" w:rsidRDefault="008C451A" w:rsidP="008C451A">
      <w:pPr>
        <w:jc w:val="both"/>
        <w:rPr>
          <w:b/>
          <w:u w:val="single"/>
        </w:rPr>
      </w:pPr>
    </w:p>
    <w:p w14:paraId="445967D1" w14:textId="77777777" w:rsidR="008C451A" w:rsidRPr="00730EA0" w:rsidRDefault="008C451A" w:rsidP="008C451A">
      <w:pPr>
        <w:jc w:val="both"/>
        <w:rPr>
          <w:b/>
          <w:u w:val="single"/>
        </w:rPr>
      </w:pPr>
    </w:p>
    <w:p w14:paraId="34F09664" w14:textId="77777777" w:rsidR="008C451A" w:rsidRDefault="001A4BF3" w:rsidP="008C451A">
      <w:pPr>
        <w:jc w:val="both"/>
        <w:rPr>
          <w:b/>
          <w:u w:val="single"/>
        </w:rPr>
      </w:pPr>
      <w:r>
        <w:rPr>
          <w:b/>
          <w:u w:val="single"/>
        </w:rPr>
        <w:t>Week 5</w:t>
      </w:r>
      <w:r w:rsidR="00AB4CCF">
        <w:rPr>
          <w:b/>
          <w:u w:val="single"/>
        </w:rPr>
        <w:t xml:space="preserve">: </w:t>
      </w:r>
      <w:r w:rsidR="008C451A" w:rsidRPr="00730EA0">
        <w:rPr>
          <w:b/>
          <w:u w:val="single"/>
        </w:rPr>
        <w:t xml:space="preserve">Children’s Rights </w:t>
      </w:r>
    </w:p>
    <w:p w14:paraId="0CC64F86" w14:textId="77777777" w:rsidR="00135C33" w:rsidRDefault="00135C33" w:rsidP="008C451A">
      <w:pPr>
        <w:jc w:val="both"/>
        <w:rPr>
          <w:b/>
          <w:u w:val="single"/>
        </w:rPr>
      </w:pPr>
    </w:p>
    <w:p w14:paraId="2EE58F50" w14:textId="77777777" w:rsidR="009D0ABC" w:rsidRPr="00135C33" w:rsidRDefault="00135C33" w:rsidP="008C451A">
      <w:pPr>
        <w:jc w:val="both"/>
      </w:pPr>
      <w:r>
        <w:t>International Convention of the Rights of the Child (</w:t>
      </w:r>
      <w:r w:rsidR="00FA2478" w:rsidRPr="00135C33">
        <w:t>ICRC</w:t>
      </w:r>
      <w:r>
        <w:t>):</w:t>
      </w:r>
      <w:r>
        <w:tab/>
        <w:t xml:space="preserve"> </w:t>
      </w:r>
      <w:hyperlink r:id="rId15" w:history="1">
        <w:r w:rsidRPr="001C4241">
          <w:rPr>
            <w:rStyle w:val="Hyperlink"/>
          </w:rPr>
          <w:t>http://www.ohchr.org/en/professionalinterest/pages/crc.aspx</w:t>
        </w:r>
      </w:hyperlink>
      <w:r>
        <w:t xml:space="preserve"> </w:t>
      </w:r>
    </w:p>
    <w:p w14:paraId="37B7BC6A" w14:textId="77777777" w:rsidR="00FA2478" w:rsidRDefault="00FA2478" w:rsidP="008C451A">
      <w:pPr>
        <w:jc w:val="both"/>
        <w:rPr>
          <w:b/>
          <w:u w:val="single"/>
        </w:rPr>
      </w:pPr>
    </w:p>
    <w:p w14:paraId="1EC40BDF" w14:textId="77777777" w:rsidR="0052775A" w:rsidRPr="0052775A" w:rsidRDefault="0052775A" w:rsidP="008C451A">
      <w:pPr>
        <w:jc w:val="both"/>
      </w:pPr>
      <w:r>
        <w:t xml:space="preserve">Barbara </w:t>
      </w:r>
      <w:proofErr w:type="spellStart"/>
      <w:r>
        <w:t>Bennet</w:t>
      </w:r>
      <w:proofErr w:type="spellEnd"/>
      <w:r>
        <w:t xml:space="preserve"> Woodhouse and Kathryn A. Johnson, “The United Nations Convention on the Rights of the Child: Empowering Parents to Protect Their Children’s Rights,” in Martha Albertson </w:t>
      </w:r>
      <w:proofErr w:type="spellStart"/>
      <w:r>
        <w:t>Fineman</w:t>
      </w:r>
      <w:proofErr w:type="spellEnd"/>
      <w:r>
        <w:t xml:space="preserve"> and Karen Worthington (eds.), </w:t>
      </w:r>
      <w:r>
        <w:rPr>
          <w:i/>
        </w:rPr>
        <w:t xml:space="preserve">What is Right for Children? </w:t>
      </w:r>
      <w:r>
        <w:rPr>
          <w:i/>
        </w:rPr>
        <w:lastRenderedPageBreak/>
        <w:t xml:space="preserve">The Compelling Paradigms of Religion and Human Rights, </w:t>
      </w:r>
      <w:proofErr w:type="spellStart"/>
      <w:r>
        <w:t>Farnham</w:t>
      </w:r>
      <w:proofErr w:type="spellEnd"/>
      <w:r>
        <w:t xml:space="preserve">, Surrey: </w:t>
      </w:r>
      <w:proofErr w:type="spellStart"/>
      <w:r>
        <w:t>Ashgate</w:t>
      </w:r>
      <w:proofErr w:type="spellEnd"/>
      <w:r>
        <w:t>, 2009, pp. 7-19.</w:t>
      </w:r>
    </w:p>
    <w:p w14:paraId="620829EC" w14:textId="77777777" w:rsidR="0052775A" w:rsidRDefault="0052775A" w:rsidP="008C451A">
      <w:pPr>
        <w:jc w:val="both"/>
        <w:rPr>
          <w:b/>
          <w:u w:val="single"/>
        </w:rPr>
      </w:pPr>
    </w:p>
    <w:p w14:paraId="6E3D409D" w14:textId="77777777" w:rsidR="009D0ABC" w:rsidRPr="009D0ABC" w:rsidRDefault="009D0ABC" w:rsidP="008C451A">
      <w:pPr>
        <w:jc w:val="both"/>
      </w:pPr>
      <w:r>
        <w:t xml:space="preserve">Kamran </w:t>
      </w:r>
      <w:proofErr w:type="spellStart"/>
      <w:r>
        <w:t>Hashemi</w:t>
      </w:r>
      <w:proofErr w:type="spellEnd"/>
      <w:r>
        <w:t xml:space="preserve">, “Religious Legal Traditions, Muslim States and the Convention on the Rights of the Child: An Essay on the Relevant UN Documentation,” </w:t>
      </w:r>
      <w:r>
        <w:rPr>
          <w:i/>
        </w:rPr>
        <w:t xml:space="preserve">Human Rights Quarterly, </w:t>
      </w:r>
      <w:r>
        <w:t>Vol. 29, No. 1, Feb. 2007, pp. 194-227</w:t>
      </w:r>
    </w:p>
    <w:p w14:paraId="64E278C6" w14:textId="77777777" w:rsidR="008C451A" w:rsidRDefault="008C451A" w:rsidP="008C451A">
      <w:pPr>
        <w:jc w:val="both"/>
      </w:pPr>
    </w:p>
    <w:p w14:paraId="5F4033DF" w14:textId="77777777" w:rsidR="009D0ABC" w:rsidRPr="00135C33" w:rsidRDefault="009D0ABC" w:rsidP="008C451A">
      <w:pPr>
        <w:jc w:val="both"/>
        <w:rPr>
          <w:b/>
        </w:rPr>
      </w:pPr>
      <w:r w:rsidRPr="00135C33">
        <w:rPr>
          <w:b/>
        </w:rPr>
        <w:t>Case Studies: Afghanistan and Syria</w:t>
      </w:r>
    </w:p>
    <w:p w14:paraId="3D12DA16" w14:textId="77777777" w:rsidR="009D0ABC" w:rsidRDefault="009D0ABC" w:rsidP="008C451A">
      <w:pPr>
        <w:jc w:val="both"/>
      </w:pPr>
    </w:p>
    <w:p w14:paraId="1745634C" w14:textId="77777777" w:rsidR="009D0ABC" w:rsidRDefault="009D0ABC" w:rsidP="008C451A">
      <w:pPr>
        <w:jc w:val="both"/>
      </w:pPr>
      <w:r>
        <w:t xml:space="preserve">Example of further readings: </w:t>
      </w:r>
    </w:p>
    <w:p w14:paraId="5BFF2443" w14:textId="77777777" w:rsidR="009D0ABC" w:rsidRDefault="009D0ABC" w:rsidP="008C451A">
      <w:pPr>
        <w:jc w:val="both"/>
      </w:pPr>
      <w:r w:rsidRPr="00D468E5">
        <w:rPr>
          <w:i/>
        </w:rPr>
        <w:t>Afghanistan: Ending Child Marriage and Domestic Violence,</w:t>
      </w:r>
      <w:r>
        <w:t xml:space="preserve"> Human Rights Watch 2009, pp. 1-16.</w:t>
      </w:r>
    </w:p>
    <w:p w14:paraId="661F0D62" w14:textId="77777777" w:rsidR="008C451A" w:rsidRDefault="008C451A" w:rsidP="008C451A">
      <w:pPr>
        <w:jc w:val="both"/>
      </w:pPr>
    </w:p>
    <w:p w14:paraId="505149C8" w14:textId="77777777" w:rsidR="00874E8E" w:rsidRDefault="00874E8E" w:rsidP="008C451A">
      <w:pPr>
        <w:jc w:val="both"/>
      </w:pPr>
    </w:p>
    <w:p w14:paraId="59886E0C" w14:textId="77777777" w:rsidR="001A4BF3" w:rsidRDefault="003C044D" w:rsidP="008C451A">
      <w:pPr>
        <w:jc w:val="both"/>
        <w:rPr>
          <w:b/>
          <w:u w:val="single"/>
        </w:rPr>
      </w:pPr>
      <w:r>
        <w:rPr>
          <w:b/>
          <w:u w:val="single"/>
        </w:rPr>
        <w:t>Week 6</w:t>
      </w:r>
      <w:r w:rsidR="008C451A" w:rsidRPr="00730EA0">
        <w:rPr>
          <w:b/>
          <w:u w:val="single"/>
        </w:rPr>
        <w:t xml:space="preserve">: </w:t>
      </w:r>
      <w:r w:rsidR="001A4BF3">
        <w:rPr>
          <w:b/>
          <w:u w:val="single"/>
        </w:rPr>
        <w:t>Minority Rights</w:t>
      </w:r>
    </w:p>
    <w:p w14:paraId="61F2ADE1" w14:textId="77777777" w:rsidR="008352B2" w:rsidRDefault="008352B2" w:rsidP="008C451A">
      <w:pPr>
        <w:jc w:val="both"/>
        <w:rPr>
          <w:b/>
          <w:u w:val="single"/>
        </w:rPr>
      </w:pPr>
    </w:p>
    <w:p w14:paraId="360583AE" w14:textId="77777777" w:rsidR="008352B2" w:rsidRPr="008352B2" w:rsidRDefault="008352B2" w:rsidP="008C451A">
      <w:pPr>
        <w:jc w:val="both"/>
      </w:pPr>
      <w:r>
        <w:t xml:space="preserve">P. R. </w:t>
      </w:r>
      <w:proofErr w:type="spellStart"/>
      <w:r>
        <w:t>Kumarasway</w:t>
      </w:r>
      <w:proofErr w:type="spellEnd"/>
      <w:r>
        <w:t xml:space="preserve">, “Islam and Minorities: Need for a Liberal Framework,” </w:t>
      </w:r>
      <w:proofErr w:type="spellStart"/>
      <w:r>
        <w:rPr>
          <w:i/>
        </w:rPr>
        <w:t>Mediteranean</w:t>
      </w:r>
      <w:proofErr w:type="spellEnd"/>
      <w:r>
        <w:rPr>
          <w:i/>
        </w:rPr>
        <w:t xml:space="preserve"> Quarterly </w:t>
      </w:r>
      <w:r w:rsidRPr="008352B2">
        <w:t>18:3,</w:t>
      </w:r>
      <w:r>
        <w:rPr>
          <w:i/>
        </w:rPr>
        <w:t xml:space="preserve"> </w:t>
      </w:r>
      <w:r>
        <w:t>pp. 94-109</w:t>
      </w:r>
    </w:p>
    <w:p w14:paraId="0C99761E" w14:textId="77777777" w:rsidR="00EE50DF" w:rsidRDefault="00EE50DF" w:rsidP="008C451A">
      <w:pPr>
        <w:jc w:val="both"/>
        <w:rPr>
          <w:u w:val="single"/>
        </w:rPr>
      </w:pPr>
    </w:p>
    <w:p w14:paraId="76551072" w14:textId="77777777" w:rsidR="00EE50DF" w:rsidRPr="00EE50DF" w:rsidRDefault="00EE50DF" w:rsidP="008C451A">
      <w:pPr>
        <w:jc w:val="both"/>
      </w:pPr>
      <w:proofErr w:type="spellStart"/>
      <w:r>
        <w:t>Nazila</w:t>
      </w:r>
      <w:proofErr w:type="spellEnd"/>
      <w:r>
        <w:t xml:space="preserve"> </w:t>
      </w:r>
      <w:proofErr w:type="spellStart"/>
      <w:r>
        <w:t>Ghanea</w:t>
      </w:r>
      <w:proofErr w:type="spellEnd"/>
      <w:r>
        <w:t xml:space="preserve">, “Human Rights of Religious Minorities and of Women in the Middle East, </w:t>
      </w:r>
      <w:r>
        <w:rPr>
          <w:i/>
        </w:rPr>
        <w:t xml:space="preserve">Human Rights Quarterly </w:t>
      </w:r>
      <w:r>
        <w:t>26 (2004), 705-729.</w:t>
      </w:r>
    </w:p>
    <w:p w14:paraId="3864E46B" w14:textId="77777777" w:rsidR="008352B2" w:rsidRPr="00447B69" w:rsidRDefault="008352B2" w:rsidP="008C451A">
      <w:pPr>
        <w:jc w:val="both"/>
      </w:pPr>
    </w:p>
    <w:p w14:paraId="510459B7" w14:textId="77777777" w:rsidR="00447B69" w:rsidRDefault="00447B69" w:rsidP="008C451A">
      <w:pPr>
        <w:jc w:val="both"/>
      </w:pPr>
      <w:r>
        <w:t>Case Studies</w:t>
      </w:r>
      <w:r w:rsidR="008352B2" w:rsidRPr="00447B69">
        <w:t xml:space="preserve">: </w:t>
      </w:r>
    </w:p>
    <w:p w14:paraId="413AD5D3" w14:textId="24F40F2C" w:rsidR="00447B69" w:rsidRDefault="008352B2" w:rsidP="00447B69">
      <w:pPr>
        <w:pStyle w:val="ListParagraph"/>
        <w:numPr>
          <w:ilvl w:val="0"/>
          <w:numId w:val="18"/>
        </w:numPr>
        <w:jc w:val="both"/>
      </w:pPr>
      <w:r w:rsidRPr="00447B69">
        <w:t>Baha’is in Iran</w:t>
      </w:r>
    </w:p>
    <w:p w14:paraId="119BB238" w14:textId="0929D599" w:rsidR="008352B2" w:rsidRPr="00447B69" w:rsidRDefault="005264A9" w:rsidP="00447B69">
      <w:pPr>
        <w:pStyle w:val="ListParagraph"/>
        <w:numPr>
          <w:ilvl w:val="0"/>
          <w:numId w:val="18"/>
        </w:numPr>
        <w:jc w:val="both"/>
      </w:pPr>
      <w:r w:rsidRPr="00447B69">
        <w:t>Copts in Egypt</w:t>
      </w:r>
    </w:p>
    <w:p w14:paraId="1D10BD8D" w14:textId="77777777" w:rsidR="008352B2" w:rsidRPr="008352B2" w:rsidRDefault="008352B2" w:rsidP="008C451A">
      <w:pPr>
        <w:jc w:val="both"/>
      </w:pPr>
      <w:r>
        <w:rPr>
          <w:b/>
        </w:rPr>
        <w:t xml:space="preserve"> </w:t>
      </w:r>
    </w:p>
    <w:p w14:paraId="26448E56" w14:textId="77777777" w:rsidR="008352B2" w:rsidRDefault="008352B2" w:rsidP="008C451A">
      <w:pPr>
        <w:jc w:val="both"/>
        <w:rPr>
          <w:b/>
          <w:u w:val="single"/>
        </w:rPr>
      </w:pPr>
    </w:p>
    <w:p w14:paraId="2F1530FD" w14:textId="4FB3D88B" w:rsidR="003C044D" w:rsidRDefault="003C044D" w:rsidP="008C451A">
      <w:pPr>
        <w:jc w:val="both"/>
        <w:rPr>
          <w:b/>
          <w:u w:val="single"/>
        </w:rPr>
      </w:pPr>
      <w:r>
        <w:rPr>
          <w:b/>
          <w:u w:val="single"/>
        </w:rPr>
        <w:t>WEEK 7. READING WEEK</w:t>
      </w:r>
    </w:p>
    <w:p w14:paraId="5B053925" w14:textId="77777777" w:rsidR="003C044D" w:rsidRDefault="003C044D" w:rsidP="008C451A">
      <w:pPr>
        <w:jc w:val="both"/>
        <w:rPr>
          <w:b/>
          <w:u w:val="single"/>
        </w:rPr>
      </w:pPr>
    </w:p>
    <w:p w14:paraId="726E151C" w14:textId="77777777" w:rsidR="003C044D" w:rsidRDefault="003C044D" w:rsidP="008C451A">
      <w:pPr>
        <w:jc w:val="both"/>
        <w:rPr>
          <w:b/>
          <w:u w:val="single"/>
        </w:rPr>
      </w:pPr>
    </w:p>
    <w:p w14:paraId="042CB6C1" w14:textId="77777777" w:rsidR="001A4BF3" w:rsidRDefault="003C044D" w:rsidP="008C451A">
      <w:pPr>
        <w:jc w:val="both"/>
        <w:rPr>
          <w:b/>
          <w:u w:val="single"/>
        </w:rPr>
      </w:pPr>
      <w:r>
        <w:rPr>
          <w:b/>
          <w:u w:val="single"/>
        </w:rPr>
        <w:t>Week 8</w:t>
      </w:r>
      <w:r w:rsidR="005264A9">
        <w:rPr>
          <w:b/>
          <w:u w:val="single"/>
        </w:rPr>
        <w:t>: Migrant Workers</w:t>
      </w:r>
    </w:p>
    <w:p w14:paraId="426BCD06" w14:textId="77777777" w:rsidR="001A4BF3" w:rsidRDefault="001A4BF3" w:rsidP="008C451A">
      <w:pPr>
        <w:jc w:val="both"/>
        <w:rPr>
          <w:b/>
          <w:u w:val="single"/>
        </w:rPr>
      </w:pPr>
    </w:p>
    <w:p w14:paraId="3CA540E3" w14:textId="77777777" w:rsidR="00D468E5" w:rsidRDefault="00D468E5" w:rsidP="008C451A">
      <w:pPr>
        <w:jc w:val="both"/>
      </w:pPr>
      <w:r w:rsidRPr="00D468E5">
        <w:t>International Convention on the Protection of the Rights of All Migrant Workers and Members of Their Families</w:t>
      </w:r>
      <w:r>
        <w:t xml:space="preserve">: </w:t>
      </w:r>
    </w:p>
    <w:p w14:paraId="2AB718E9" w14:textId="77777777" w:rsidR="00D468E5" w:rsidRDefault="004F324A" w:rsidP="008C451A">
      <w:pPr>
        <w:jc w:val="both"/>
      </w:pPr>
      <w:hyperlink r:id="rId16" w:history="1">
        <w:r w:rsidR="00D468E5" w:rsidRPr="001C4241">
          <w:rPr>
            <w:rStyle w:val="Hyperlink"/>
          </w:rPr>
          <w:t>http://www.ohchr.org/EN/ProfessionalInterest/Pages/CMW.aspx</w:t>
        </w:r>
      </w:hyperlink>
    </w:p>
    <w:p w14:paraId="4D437152" w14:textId="77777777" w:rsidR="00D468E5" w:rsidRDefault="00D468E5" w:rsidP="008C451A">
      <w:pPr>
        <w:jc w:val="both"/>
        <w:rPr>
          <w:b/>
          <w:u w:val="single"/>
        </w:rPr>
      </w:pPr>
    </w:p>
    <w:p w14:paraId="2F5F25FD" w14:textId="77777777" w:rsidR="001A4BF3" w:rsidRDefault="009D0ABC" w:rsidP="008C451A">
      <w:pPr>
        <w:jc w:val="both"/>
      </w:pPr>
      <w:r>
        <w:t>Case Studies: Saudi Arabia</w:t>
      </w:r>
      <w:r w:rsidR="0052775A">
        <w:t>, Jordan and Bahrain</w:t>
      </w:r>
    </w:p>
    <w:p w14:paraId="70413486" w14:textId="53E87E28" w:rsidR="009D0ABC" w:rsidRDefault="00447B69" w:rsidP="008C451A">
      <w:pPr>
        <w:jc w:val="both"/>
      </w:pPr>
      <w:r>
        <w:t>“</w:t>
      </w:r>
      <w:r w:rsidR="009D0ABC">
        <w:t xml:space="preserve">As If I Am Not Human,” Abuses against Asian Domestic Workers </w:t>
      </w:r>
      <w:r w:rsidR="003C044D">
        <w:t>in Saudi Arabia,” Human Rights Watch 2008.</w:t>
      </w:r>
    </w:p>
    <w:p w14:paraId="1088DBD0" w14:textId="77777777" w:rsidR="003C044D" w:rsidRPr="009D0ABC" w:rsidRDefault="003C044D" w:rsidP="008C451A">
      <w:pPr>
        <w:jc w:val="both"/>
      </w:pPr>
    </w:p>
    <w:p w14:paraId="6D657A06" w14:textId="77777777" w:rsidR="008C451A" w:rsidRPr="00874E8E" w:rsidRDefault="008C451A" w:rsidP="008C451A">
      <w:pPr>
        <w:jc w:val="both"/>
        <w:rPr>
          <w:b/>
          <w:u w:val="single"/>
        </w:rPr>
      </w:pPr>
    </w:p>
    <w:p w14:paraId="6907329C" w14:textId="77777777" w:rsidR="008C451A" w:rsidRPr="00874E8E" w:rsidRDefault="0052775A" w:rsidP="008C451A">
      <w:pPr>
        <w:jc w:val="both"/>
        <w:rPr>
          <w:b/>
          <w:u w:val="single"/>
        </w:rPr>
      </w:pPr>
      <w:r w:rsidRPr="00874E8E">
        <w:rPr>
          <w:b/>
          <w:u w:val="single"/>
        </w:rPr>
        <w:t>Week 9: Death Penalty in the Middle East</w:t>
      </w:r>
    </w:p>
    <w:p w14:paraId="542D8361" w14:textId="77777777" w:rsidR="0052775A" w:rsidRDefault="0052775A" w:rsidP="008C451A">
      <w:pPr>
        <w:jc w:val="both"/>
        <w:rPr>
          <w:b/>
        </w:rPr>
      </w:pPr>
    </w:p>
    <w:p w14:paraId="711611FA" w14:textId="77777777" w:rsidR="0052775A" w:rsidRDefault="005264A9" w:rsidP="008C451A">
      <w:pPr>
        <w:jc w:val="both"/>
      </w:pPr>
      <w:r>
        <w:t xml:space="preserve">William A. </w:t>
      </w:r>
      <w:proofErr w:type="spellStart"/>
      <w:r>
        <w:t>Schabas</w:t>
      </w:r>
      <w:proofErr w:type="spellEnd"/>
      <w:r>
        <w:t xml:space="preserve">, </w:t>
      </w:r>
      <w:r>
        <w:rPr>
          <w:i/>
        </w:rPr>
        <w:t xml:space="preserve">The Abolition of the Death Penalty in International Law (Third Edition), </w:t>
      </w:r>
      <w:r>
        <w:t>Cambridge: Cambridge University Press, 2002, pp. 1-45.</w:t>
      </w:r>
    </w:p>
    <w:p w14:paraId="76BC99AE" w14:textId="77777777" w:rsidR="005264A9" w:rsidRDefault="005264A9" w:rsidP="008C451A">
      <w:pPr>
        <w:jc w:val="both"/>
      </w:pPr>
    </w:p>
    <w:p w14:paraId="193C9E13" w14:textId="77777777" w:rsidR="00447B69" w:rsidRDefault="005264A9" w:rsidP="008C451A">
      <w:pPr>
        <w:jc w:val="both"/>
      </w:pPr>
      <w:r>
        <w:t xml:space="preserve">Case Studies: </w:t>
      </w:r>
    </w:p>
    <w:p w14:paraId="676675C7" w14:textId="7273AEE7" w:rsidR="00447B69" w:rsidRDefault="00447B69" w:rsidP="00447B69">
      <w:pPr>
        <w:pStyle w:val="ListParagraph"/>
        <w:numPr>
          <w:ilvl w:val="0"/>
          <w:numId w:val="18"/>
        </w:numPr>
        <w:jc w:val="both"/>
      </w:pPr>
      <w:r>
        <w:t xml:space="preserve">Iran </w:t>
      </w:r>
    </w:p>
    <w:p w14:paraId="3C609DC6" w14:textId="60C14B54" w:rsidR="005264A9" w:rsidRPr="005264A9" w:rsidRDefault="005264A9" w:rsidP="00447B69">
      <w:pPr>
        <w:pStyle w:val="ListParagraph"/>
        <w:numPr>
          <w:ilvl w:val="0"/>
          <w:numId w:val="18"/>
        </w:numPr>
        <w:jc w:val="both"/>
      </w:pPr>
      <w:r>
        <w:t>Saudi Arabia</w:t>
      </w:r>
    </w:p>
    <w:p w14:paraId="61918E9E" w14:textId="77777777" w:rsidR="0052775A" w:rsidRDefault="0052775A" w:rsidP="008C451A">
      <w:pPr>
        <w:jc w:val="both"/>
        <w:rPr>
          <w:b/>
        </w:rPr>
      </w:pPr>
    </w:p>
    <w:p w14:paraId="35C01C33" w14:textId="0E2CCFD4" w:rsidR="00D468E5" w:rsidRDefault="0052775A" w:rsidP="008C451A">
      <w:pPr>
        <w:jc w:val="both"/>
        <w:rPr>
          <w:b/>
          <w:u w:val="single"/>
        </w:rPr>
      </w:pPr>
      <w:r>
        <w:rPr>
          <w:b/>
          <w:u w:val="single"/>
        </w:rPr>
        <w:t>Week 10 and 11</w:t>
      </w:r>
      <w:r w:rsidR="00575266" w:rsidRPr="0052775A">
        <w:rPr>
          <w:b/>
          <w:u w:val="single"/>
        </w:rPr>
        <w:t>: Campaign Presentations by Student</w:t>
      </w:r>
    </w:p>
    <w:p w14:paraId="682DB827" w14:textId="77777777" w:rsidR="005B0DB7" w:rsidRPr="005B0DB7" w:rsidRDefault="005B0DB7" w:rsidP="008C451A">
      <w:pPr>
        <w:jc w:val="both"/>
        <w:rPr>
          <w:b/>
          <w:u w:val="single"/>
        </w:rPr>
      </w:pPr>
    </w:p>
    <w:p w14:paraId="2606B29C" w14:textId="545C96BF" w:rsidR="008C451A" w:rsidRPr="00D468E5" w:rsidRDefault="00447B69" w:rsidP="005B0DB7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Useful Web Resources</w:t>
      </w:r>
      <w:r w:rsidR="008C451A" w:rsidRPr="00D468E5">
        <w:rPr>
          <w:b/>
          <w:u w:val="single"/>
        </w:rPr>
        <w:t>:</w:t>
      </w:r>
    </w:p>
    <w:p w14:paraId="69FEDB98" w14:textId="77777777" w:rsidR="008C451A" w:rsidRPr="00D468E5" w:rsidRDefault="008C451A" w:rsidP="008C451A">
      <w:r w:rsidRPr="00D468E5">
        <w:t xml:space="preserve">United Nations: </w:t>
      </w:r>
      <w:hyperlink r:id="rId17" w:history="1">
        <w:r w:rsidRPr="00D468E5">
          <w:rPr>
            <w:rStyle w:val="Hyperlink"/>
          </w:rPr>
          <w:t>http://www.un.org</w:t>
        </w:r>
      </w:hyperlink>
    </w:p>
    <w:p w14:paraId="713B36A6" w14:textId="77777777" w:rsidR="008C451A" w:rsidRPr="00D468E5" w:rsidRDefault="008C451A" w:rsidP="008C451A">
      <w:r w:rsidRPr="00D468E5">
        <w:t xml:space="preserve">The UN High Commission for Human Rights: </w:t>
      </w:r>
      <w:hyperlink r:id="rId18" w:history="1">
        <w:r w:rsidRPr="00D468E5">
          <w:rPr>
            <w:rStyle w:val="Hyperlink"/>
          </w:rPr>
          <w:t>www.unhchr.ch</w:t>
        </w:r>
      </w:hyperlink>
    </w:p>
    <w:p w14:paraId="07AC75BF" w14:textId="77777777" w:rsidR="008C451A" w:rsidRPr="00D468E5" w:rsidRDefault="008C451A" w:rsidP="008C451A">
      <w:r w:rsidRPr="00D468E5">
        <w:t xml:space="preserve">Human Development Reports: </w:t>
      </w:r>
      <w:hyperlink r:id="rId19" w:history="1">
        <w:r w:rsidRPr="00D468E5">
          <w:rPr>
            <w:rStyle w:val="Hyperlink"/>
          </w:rPr>
          <w:t>http://hdr.undp.org/</w:t>
        </w:r>
      </w:hyperlink>
    </w:p>
    <w:p w14:paraId="7E2DC22D" w14:textId="77777777" w:rsidR="008C451A" w:rsidRPr="00D468E5" w:rsidRDefault="008C451A" w:rsidP="008C451A">
      <w:r w:rsidRPr="00D468E5">
        <w:t xml:space="preserve">UNICEF: </w:t>
      </w:r>
      <w:hyperlink r:id="rId20" w:history="1">
        <w:r w:rsidRPr="00D468E5">
          <w:rPr>
            <w:rStyle w:val="Hyperlink"/>
          </w:rPr>
          <w:t>http://www.unicef.org</w:t>
        </w:r>
      </w:hyperlink>
    </w:p>
    <w:p w14:paraId="3C7F357A" w14:textId="77777777" w:rsidR="008C451A" w:rsidRPr="00D468E5" w:rsidRDefault="008C451A" w:rsidP="008C451A">
      <w:r w:rsidRPr="00D468E5">
        <w:t xml:space="preserve">The European Court of Human Rights: </w:t>
      </w:r>
      <w:hyperlink r:id="rId21" w:history="1">
        <w:r w:rsidRPr="00D468E5">
          <w:rPr>
            <w:rStyle w:val="Hyperlink"/>
          </w:rPr>
          <w:t>www.echr.coe.int</w:t>
        </w:r>
      </w:hyperlink>
    </w:p>
    <w:p w14:paraId="77337058" w14:textId="77777777" w:rsidR="008C451A" w:rsidRDefault="008C451A" w:rsidP="008C451A">
      <w:pPr>
        <w:rPr>
          <w:rStyle w:val="Hyperlink"/>
        </w:rPr>
      </w:pPr>
      <w:r w:rsidRPr="00D468E5">
        <w:t xml:space="preserve">Amnesty International: </w:t>
      </w:r>
      <w:hyperlink r:id="rId22" w:history="1">
        <w:r w:rsidRPr="00D468E5">
          <w:rPr>
            <w:rStyle w:val="Hyperlink"/>
          </w:rPr>
          <w:t>http://www.amnesty.org</w:t>
        </w:r>
      </w:hyperlink>
    </w:p>
    <w:p w14:paraId="3CC5F94E" w14:textId="484A9D4B" w:rsidR="00447B69" w:rsidRPr="00447B69" w:rsidRDefault="00447B69" w:rsidP="00447B69">
      <w:pPr>
        <w:ind w:firstLine="720"/>
      </w:pPr>
      <w:r>
        <w:t xml:space="preserve">See: </w:t>
      </w:r>
      <w:hyperlink r:id="rId23" w:history="1">
        <w:r w:rsidRPr="00D468E5">
          <w:rPr>
            <w:rStyle w:val="Hyperlink"/>
          </w:rPr>
          <w:t>http://www.amnesty.org/en/annual-report/2012/middle-east-north-africa</w:t>
        </w:r>
      </w:hyperlink>
    </w:p>
    <w:p w14:paraId="0B69D6CF" w14:textId="77777777" w:rsidR="009D799A" w:rsidRPr="00D468E5" w:rsidRDefault="008C451A" w:rsidP="008C451A">
      <w:r w:rsidRPr="00D468E5">
        <w:t xml:space="preserve">Human Rights Watch: </w:t>
      </w:r>
      <w:hyperlink r:id="rId24" w:history="1">
        <w:r w:rsidRPr="00D468E5">
          <w:rPr>
            <w:rStyle w:val="Hyperlink"/>
          </w:rPr>
          <w:t>http://www.hrw.org</w:t>
        </w:r>
      </w:hyperlink>
      <w:r w:rsidR="009D799A" w:rsidRPr="00D468E5">
        <w:t xml:space="preserve"> (http://www.hrw.org/middle-east/n-africa)</w:t>
      </w:r>
    </w:p>
    <w:p w14:paraId="766279F8" w14:textId="77777777" w:rsidR="008C451A" w:rsidRPr="00D468E5" w:rsidRDefault="008C451A" w:rsidP="008C451A">
      <w:r w:rsidRPr="00D468E5">
        <w:t xml:space="preserve">Human Rights Tools: </w:t>
      </w:r>
      <w:hyperlink r:id="rId25" w:history="1">
        <w:r w:rsidRPr="00D468E5">
          <w:rPr>
            <w:rStyle w:val="Hyperlink"/>
          </w:rPr>
          <w:t>http://www.humanrightstools.org/index.htm</w:t>
        </w:r>
      </w:hyperlink>
    </w:p>
    <w:p w14:paraId="5AEEA70B" w14:textId="5F19A67B" w:rsidR="008C451A" w:rsidRPr="00447B69" w:rsidRDefault="008C451A" w:rsidP="008C451A">
      <w:pPr>
        <w:rPr>
          <w:lang w:val="de-DE"/>
        </w:rPr>
      </w:pPr>
      <w:r w:rsidRPr="00D468E5">
        <w:rPr>
          <w:lang w:val="de-DE"/>
        </w:rPr>
        <w:t xml:space="preserve">HeinOnLine: </w:t>
      </w:r>
      <w:hyperlink r:id="rId26" w:history="1">
        <w:r w:rsidRPr="00D468E5">
          <w:rPr>
            <w:rStyle w:val="Hyperlink"/>
            <w:lang w:val="de-DE"/>
          </w:rPr>
          <w:t>http://heinonline.org/HOL/Search?collection=journals</w:t>
        </w:r>
      </w:hyperlink>
    </w:p>
    <w:p w14:paraId="48C8A4F4" w14:textId="6F237ECE" w:rsidR="009D799A" w:rsidRDefault="00447B69" w:rsidP="008C451A">
      <w:r>
        <w:t xml:space="preserve">FIDH: </w:t>
      </w:r>
      <w:hyperlink r:id="rId27" w:history="1">
        <w:r w:rsidRPr="00234714">
          <w:rPr>
            <w:rStyle w:val="Hyperlink"/>
          </w:rPr>
          <w:t>https://www.fidh.org/fr/regions/maghreb-moyen-orient/</w:t>
        </w:r>
      </w:hyperlink>
    </w:p>
    <w:p w14:paraId="40B2315E" w14:textId="77777777" w:rsidR="005B0DB7" w:rsidRDefault="005B0DB7" w:rsidP="005B0DB7">
      <w:r>
        <w:t>University of Minnesota Human Rights Library:</w:t>
      </w:r>
    </w:p>
    <w:p w14:paraId="515F5ECA" w14:textId="0F1CB280" w:rsidR="00204641" w:rsidRPr="00D468E5" w:rsidRDefault="004F324A" w:rsidP="005B0DB7">
      <w:hyperlink r:id="rId28" w:history="1">
        <w:r w:rsidR="00204641" w:rsidRPr="00D468E5">
          <w:rPr>
            <w:rStyle w:val="Hyperlink"/>
          </w:rPr>
          <w:t>http://www1.umn.edu/humanrts/links/mideast.html</w:t>
        </w:r>
      </w:hyperlink>
    </w:p>
    <w:p w14:paraId="680F9E8F" w14:textId="77777777" w:rsidR="005C73B6" w:rsidRPr="00D468E5" w:rsidRDefault="005C73B6" w:rsidP="008C451A">
      <w:pPr>
        <w:jc w:val="both"/>
      </w:pPr>
    </w:p>
    <w:p w14:paraId="3A42C970" w14:textId="77777777" w:rsidR="005C73B6" w:rsidRPr="00113F6C" w:rsidRDefault="005C73B6" w:rsidP="008C451A">
      <w:pPr>
        <w:jc w:val="both"/>
      </w:pPr>
    </w:p>
    <w:sectPr w:rsidR="005C73B6" w:rsidRPr="00113F6C" w:rsidSect="008C451A">
      <w:headerReference w:type="even" r:id="rId29"/>
      <w:headerReference w:type="default" r:id="rId30"/>
      <w:pgSz w:w="11906" w:h="16838"/>
      <w:pgMar w:top="1440" w:right="1642" w:bottom="994" w:left="1800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EB591" w14:textId="77777777" w:rsidR="005B0DB7" w:rsidRDefault="005B0DB7" w:rsidP="005B0DB7">
      <w:r>
        <w:separator/>
      </w:r>
    </w:p>
  </w:endnote>
  <w:endnote w:type="continuationSeparator" w:id="0">
    <w:p w14:paraId="0EE790E1" w14:textId="77777777" w:rsidR="005B0DB7" w:rsidRDefault="005B0DB7" w:rsidP="005B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4B1FB" w14:textId="77777777" w:rsidR="005B0DB7" w:rsidRDefault="005B0DB7" w:rsidP="005B0DB7">
      <w:r>
        <w:separator/>
      </w:r>
    </w:p>
  </w:footnote>
  <w:footnote w:type="continuationSeparator" w:id="0">
    <w:p w14:paraId="781C6C7C" w14:textId="77777777" w:rsidR="005B0DB7" w:rsidRDefault="005B0DB7" w:rsidP="005B0D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F402D" w14:textId="77777777" w:rsidR="005B0DB7" w:rsidRDefault="005B0DB7" w:rsidP="0023471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14E4ED" w14:textId="77777777" w:rsidR="005B0DB7" w:rsidRDefault="005B0DB7" w:rsidP="005B0DB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03BD0" w14:textId="77777777" w:rsidR="005B0DB7" w:rsidRDefault="005B0DB7" w:rsidP="0023471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122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038989" w14:textId="77777777" w:rsidR="005B0DB7" w:rsidRDefault="005B0DB7" w:rsidP="005B0D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42B"/>
    <w:multiLevelType w:val="hybridMultilevel"/>
    <w:tmpl w:val="0E9234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8277585"/>
    <w:multiLevelType w:val="hybridMultilevel"/>
    <w:tmpl w:val="7B0E32B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0749EC"/>
    <w:multiLevelType w:val="hybridMultilevel"/>
    <w:tmpl w:val="71288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A45702"/>
    <w:multiLevelType w:val="hybridMultilevel"/>
    <w:tmpl w:val="65EC8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222C8"/>
    <w:multiLevelType w:val="hybridMultilevel"/>
    <w:tmpl w:val="37D6955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A2246E"/>
    <w:multiLevelType w:val="hybridMultilevel"/>
    <w:tmpl w:val="7DAA5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097958"/>
    <w:multiLevelType w:val="hybridMultilevel"/>
    <w:tmpl w:val="E272E9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9B166B"/>
    <w:multiLevelType w:val="hybridMultilevel"/>
    <w:tmpl w:val="6C00C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EF1F32"/>
    <w:multiLevelType w:val="hybridMultilevel"/>
    <w:tmpl w:val="0F6052E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F857FF8"/>
    <w:multiLevelType w:val="hybridMultilevel"/>
    <w:tmpl w:val="38F0A8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F63542"/>
    <w:multiLevelType w:val="hybridMultilevel"/>
    <w:tmpl w:val="D99A79E8"/>
    <w:lvl w:ilvl="0" w:tplc="EFBA64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E7A48"/>
    <w:multiLevelType w:val="hybridMultilevel"/>
    <w:tmpl w:val="CF3E2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EF2E4E"/>
    <w:multiLevelType w:val="hybridMultilevel"/>
    <w:tmpl w:val="1E365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262B79"/>
    <w:multiLevelType w:val="hybridMultilevel"/>
    <w:tmpl w:val="E292AAE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0777460"/>
    <w:multiLevelType w:val="hybridMultilevel"/>
    <w:tmpl w:val="C0A4E8F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9954367"/>
    <w:multiLevelType w:val="hybridMultilevel"/>
    <w:tmpl w:val="07186E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0E7AA1"/>
    <w:multiLevelType w:val="hybridMultilevel"/>
    <w:tmpl w:val="78109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F787F83"/>
    <w:multiLevelType w:val="hybridMultilevel"/>
    <w:tmpl w:val="583A1A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5"/>
  </w:num>
  <w:num w:numId="5">
    <w:abstractNumId w:val="7"/>
  </w:num>
  <w:num w:numId="6">
    <w:abstractNumId w:val="5"/>
  </w:num>
  <w:num w:numId="7">
    <w:abstractNumId w:val="11"/>
  </w:num>
  <w:num w:numId="8">
    <w:abstractNumId w:val="3"/>
  </w:num>
  <w:num w:numId="9">
    <w:abstractNumId w:val="12"/>
  </w:num>
  <w:num w:numId="10">
    <w:abstractNumId w:val="8"/>
  </w:num>
  <w:num w:numId="11">
    <w:abstractNumId w:val="13"/>
  </w:num>
  <w:num w:numId="12">
    <w:abstractNumId w:val="14"/>
  </w:num>
  <w:num w:numId="13">
    <w:abstractNumId w:val="17"/>
  </w:num>
  <w:num w:numId="14">
    <w:abstractNumId w:val="1"/>
  </w:num>
  <w:num w:numId="15">
    <w:abstractNumId w:val="6"/>
  </w:num>
  <w:num w:numId="16">
    <w:abstractNumId w:val="4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B1"/>
    <w:rsid w:val="00063272"/>
    <w:rsid w:val="0009200F"/>
    <w:rsid w:val="000D34F4"/>
    <w:rsid w:val="00135C33"/>
    <w:rsid w:val="001A4BF3"/>
    <w:rsid w:val="00204641"/>
    <w:rsid w:val="0037697F"/>
    <w:rsid w:val="003C044D"/>
    <w:rsid w:val="003E3CB3"/>
    <w:rsid w:val="004071D2"/>
    <w:rsid w:val="00447B69"/>
    <w:rsid w:val="005264A9"/>
    <w:rsid w:val="0052775A"/>
    <w:rsid w:val="00542AB1"/>
    <w:rsid w:val="00575266"/>
    <w:rsid w:val="005B0DB7"/>
    <w:rsid w:val="005C73B6"/>
    <w:rsid w:val="005D7A8E"/>
    <w:rsid w:val="00697519"/>
    <w:rsid w:val="00726432"/>
    <w:rsid w:val="00743EF5"/>
    <w:rsid w:val="007C782D"/>
    <w:rsid w:val="007F40FC"/>
    <w:rsid w:val="00804543"/>
    <w:rsid w:val="008352B2"/>
    <w:rsid w:val="00855770"/>
    <w:rsid w:val="0087122C"/>
    <w:rsid w:val="00874E8E"/>
    <w:rsid w:val="008C451A"/>
    <w:rsid w:val="008D30CE"/>
    <w:rsid w:val="00920A51"/>
    <w:rsid w:val="009B425A"/>
    <w:rsid w:val="009D0ABC"/>
    <w:rsid w:val="009D799A"/>
    <w:rsid w:val="00AB4CCF"/>
    <w:rsid w:val="00AD07E3"/>
    <w:rsid w:val="00BD42C4"/>
    <w:rsid w:val="00C90888"/>
    <w:rsid w:val="00D060E6"/>
    <w:rsid w:val="00D468E5"/>
    <w:rsid w:val="00D96081"/>
    <w:rsid w:val="00E606D8"/>
    <w:rsid w:val="00E66A5D"/>
    <w:rsid w:val="00EE50DF"/>
    <w:rsid w:val="00F30868"/>
    <w:rsid w:val="00F91FA4"/>
    <w:rsid w:val="00FA24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DB1C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2AB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D5BAA"/>
    <w:pPr>
      <w:ind w:left="2160" w:hanging="2160"/>
    </w:pPr>
    <w:rPr>
      <w:lang w:val="en-CA"/>
    </w:rPr>
  </w:style>
  <w:style w:type="character" w:customStyle="1" w:styleId="BodyTextIndentChar">
    <w:name w:val="Body Text Indent Char"/>
    <w:link w:val="BodyTextIndent"/>
    <w:rsid w:val="009D5BAA"/>
    <w:rPr>
      <w:sz w:val="24"/>
      <w:szCs w:val="24"/>
      <w:lang w:val="en-CA" w:eastAsia="en-US" w:bidi="ar-SA"/>
    </w:rPr>
  </w:style>
  <w:style w:type="paragraph" w:styleId="Header">
    <w:name w:val="header"/>
    <w:basedOn w:val="Normal"/>
    <w:rsid w:val="009D5BAA"/>
    <w:pPr>
      <w:tabs>
        <w:tab w:val="center" w:pos="4320"/>
        <w:tab w:val="right" w:pos="8640"/>
      </w:tabs>
    </w:pPr>
    <w:rPr>
      <w:lang w:val="en-CA"/>
    </w:rPr>
  </w:style>
  <w:style w:type="paragraph" w:styleId="FootnoteText">
    <w:name w:val="footnote text"/>
    <w:basedOn w:val="Normal"/>
    <w:link w:val="FootnoteTextChar"/>
    <w:rsid w:val="0085799B"/>
    <w:pPr>
      <w:jc w:val="both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85799B"/>
    <w:rPr>
      <w:lang w:val="en-US" w:eastAsia="en-US" w:bidi="ar-SA"/>
    </w:rPr>
  </w:style>
  <w:style w:type="character" w:styleId="FootnoteReference">
    <w:name w:val="footnote reference"/>
    <w:rsid w:val="0085799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43097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7B6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B0D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2AB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D5BAA"/>
    <w:pPr>
      <w:ind w:left="2160" w:hanging="2160"/>
    </w:pPr>
    <w:rPr>
      <w:lang w:val="en-CA"/>
    </w:rPr>
  </w:style>
  <w:style w:type="character" w:customStyle="1" w:styleId="BodyTextIndentChar">
    <w:name w:val="Body Text Indent Char"/>
    <w:link w:val="BodyTextIndent"/>
    <w:rsid w:val="009D5BAA"/>
    <w:rPr>
      <w:sz w:val="24"/>
      <w:szCs w:val="24"/>
      <w:lang w:val="en-CA" w:eastAsia="en-US" w:bidi="ar-SA"/>
    </w:rPr>
  </w:style>
  <w:style w:type="paragraph" w:styleId="Header">
    <w:name w:val="header"/>
    <w:basedOn w:val="Normal"/>
    <w:rsid w:val="009D5BAA"/>
    <w:pPr>
      <w:tabs>
        <w:tab w:val="center" w:pos="4320"/>
        <w:tab w:val="right" w:pos="8640"/>
      </w:tabs>
    </w:pPr>
    <w:rPr>
      <w:lang w:val="en-CA"/>
    </w:rPr>
  </w:style>
  <w:style w:type="paragraph" w:styleId="FootnoteText">
    <w:name w:val="footnote text"/>
    <w:basedOn w:val="Normal"/>
    <w:link w:val="FootnoteTextChar"/>
    <w:rsid w:val="0085799B"/>
    <w:pPr>
      <w:jc w:val="both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85799B"/>
    <w:rPr>
      <w:lang w:val="en-US" w:eastAsia="en-US" w:bidi="ar-SA"/>
    </w:rPr>
  </w:style>
  <w:style w:type="character" w:styleId="FootnoteReference">
    <w:name w:val="footnote reference"/>
    <w:rsid w:val="0085799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43097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7B6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B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unhchr.ch/html/menu3/b/a_ccpr.htm" TargetMode="External"/><Relationship Id="rId20" Type="http://schemas.openxmlformats.org/officeDocument/2006/relationships/hyperlink" Target="http://www.unicef.org" TargetMode="External"/><Relationship Id="rId21" Type="http://schemas.openxmlformats.org/officeDocument/2006/relationships/hyperlink" Target="http://www.echr.coe.int" TargetMode="External"/><Relationship Id="rId22" Type="http://schemas.openxmlformats.org/officeDocument/2006/relationships/hyperlink" Target="http://www.amnesty.org" TargetMode="External"/><Relationship Id="rId23" Type="http://schemas.openxmlformats.org/officeDocument/2006/relationships/hyperlink" Target="http://www.amnesty.org/en/annual-report/2012/middle-east-north-africa" TargetMode="External"/><Relationship Id="rId24" Type="http://schemas.openxmlformats.org/officeDocument/2006/relationships/hyperlink" Target="http://www.hrw.org" TargetMode="External"/><Relationship Id="rId25" Type="http://schemas.openxmlformats.org/officeDocument/2006/relationships/hyperlink" Target="http://www.humanrightstools.org/index.htm" TargetMode="External"/><Relationship Id="rId26" Type="http://schemas.openxmlformats.org/officeDocument/2006/relationships/hyperlink" Target="http://heinonline.org/HOL/Search?collection=journals" TargetMode="External"/><Relationship Id="rId27" Type="http://schemas.openxmlformats.org/officeDocument/2006/relationships/hyperlink" Target="https://www.fidh.org/fr/regions/maghreb-moyen-orient/" TargetMode="External"/><Relationship Id="rId28" Type="http://schemas.openxmlformats.org/officeDocument/2006/relationships/hyperlink" Target="http://www1.umn.edu/humanrts/links/mideast.html" TargetMode="External"/><Relationship Id="rId29" Type="http://schemas.openxmlformats.org/officeDocument/2006/relationships/header" Target="header1.xml"/><Relationship Id="rId30" Type="http://schemas.openxmlformats.org/officeDocument/2006/relationships/header" Target="head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www.unhchr.ch/html/menu3/b/a_cescr.htm" TargetMode="External"/><Relationship Id="rId11" Type="http://schemas.openxmlformats.org/officeDocument/2006/relationships/hyperlink" Target="http://www.unhchr.ch/tbs/doc.nsf/(Symbol)/ca7694800da16d53c1256d1600396ea6?Opendocument" TargetMode="External"/><Relationship Id="rId12" Type="http://schemas.openxmlformats.org/officeDocument/2006/relationships/hyperlink" Target="http://www.ohchr.org/EN/ProfessionalInterest/Pages/CEDAW.aspx" TargetMode="External"/><Relationship Id="rId13" Type="http://schemas.openxmlformats.org/officeDocument/2006/relationships/hyperlink" Target="http://www.ohchr.org/Documents/Events/WHRD/WomenRightsAreHR.pdf" TargetMode="External"/><Relationship Id="rId14" Type="http://schemas.openxmlformats.org/officeDocument/2006/relationships/hyperlink" Target="https://www.hrw.org/endmaleguardianship" TargetMode="External"/><Relationship Id="rId15" Type="http://schemas.openxmlformats.org/officeDocument/2006/relationships/hyperlink" Target="http://www.ohchr.org/en/professionalinterest/pages/crc.aspx" TargetMode="External"/><Relationship Id="rId16" Type="http://schemas.openxmlformats.org/officeDocument/2006/relationships/hyperlink" Target="http://www.ohchr.org/EN/ProfessionalInterest/Pages/CMW.aspx" TargetMode="External"/><Relationship Id="rId17" Type="http://schemas.openxmlformats.org/officeDocument/2006/relationships/hyperlink" Target="http://www.un.org" TargetMode="External"/><Relationship Id="rId18" Type="http://schemas.openxmlformats.org/officeDocument/2006/relationships/hyperlink" Target="http://www.unhchr.ch" TargetMode="External"/><Relationship Id="rId19" Type="http://schemas.openxmlformats.org/officeDocument/2006/relationships/hyperlink" Target="http://hdr.undp.or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azaelr@tcd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1509</Words>
  <Characters>8604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Rights: Theory and Practice</vt:lpstr>
    </vt:vector>
  </TitlesOfParts>
  <Company/>
  <LinksUpToDate>false</LinksUpToDate>
  <CharactersWithSpaces>10093</CharactersWithSpaces>
  <SharedDoc>false</SharedDoc>
  <HLinks>
    <vt:vector size="138" baseType="variant">
      <vt:variant>
        <vt:i4>2687072</vt:i4>
      </vt:variant>
      <vt:variant>
        <vt:i4>66</vt:i4>
      </vt:variant>
      <vt:variant>
        <vt:i4>0</vt:i4>
      </vt:variant>
      <vt:variant>
        <vt:i4>5</vt:i4>
      </vt:variant>
      <vt:variant>
        <vt:lpwstr>http://www.afghanwomensmission.org</vt:lpwstr>
      </vt:variant>
      <vt:variant>
        <vt:lpwstr/>
      </vt:variant>
      <vt:variant>
        <vt:i4>1441889</vt:i4>
      </vt:variant>
      <vt:variant>
        <vt:i4>63</vt:i4>
      </vt:variant>
      <vt:variant>
        <vt:i4>0</vt:i4>
      </vt:variant>
      <vt:variant>
        <vt:i4>5</vt:i4>
      </vt:variant>
      <vt:variant>
        <vt:lpwstr>http://adalah.org</vt:lpwstr>
      </vt:variant>
      <vt:variant>
        <vt:lpwstr/>
      </vt:variant>
      <vt:variant>
        <vt:i4>7340048</vt:i4>
      </vt:variant>
      <vt:variant>
        <vt:i4>60</vt:i4>
      </vt:variant>
      <vt:variant>
        <vt:i4>0</vt:i4>
      </vt:variant>
      <vt:variant>
        <vt:i4>5</vt:i4>
      </vt:variant>
      <vt:variant>
        <vt:lpwstr>http://www1.umn.edu/humanrts/links/mideast.html</vt:lpwstr>
      </vt:variant>
      <vt:variant>
        <vt:lpwstr/>
      </vt:variant>
      <vt:variant>
        <vt:i4>2031659</vt:i4>
      </vt:variant>
      <vt:variant>
        <vt:i4>57</vt:i4>
      </vt:variant>
      <vt:variant>
        <vt:i4>0</vt:i4>
      </vt:variant>
      <vt:variant>
        <vt:i4>5</vt:i4>
      </vt:variant>
      <vt:variant>
        <vt:lpwstr>http://www.amnesty.org/en/annual-report/2012/middle-east-north-africa</vt:lpwstr>
      </vt:variant>
      <vt:variant>
        <vt:lpwstr/>
      </vt:variant>
      <vt:variant>
        <vt:i4>3014757</vt:i4>
      </vt:variant>
      <vt:variant>
        <vt:i4>54</vt:i4>
      </vt:variant>
      <vt:variant>
        <vt:i4>0</vt:i4>
      </vt:variant>
      <vt:variant>
        <vt:i4>5</vt:i4>
      </vt:variant>
      <vt:variant>
        <vt:lpwstr>http://www.ail.org</vt:lpwstr>
      </vt:variant>
      <vt:variant>
        <vt:lpwstr/>
      </vt:variant>
      <vt:variant>
        <vt:i4>7405655</vt:i4>
      </vt:variant>
      <vt:variant>
        <vt:i4>51</vt:i4>
      </vt:variant>
      <vt:variant>
        <vt:i4>0</vt:i4>
      </vt:variant>
      <vt:variant>
        <vt:i4>5</vt:i4>
      </vt:variant>
      <vt:variant>
        <vt:lpwstr>http://www.findarticles.com</vt:lpwstr>
      </vt:variant>
      <vt:variant>
        <vt:lpwstr/>
      </vt:variant>
      <vt:variant>
        <vt:i4>4718680</vt:i4>
      </vt:variant>
      <vt:variant>
        <vt:i4>48</vt:i4>
      </vt:variant>
      <vt:variant>
        <vt:i4>0</vt:i4>
      </vt:variant>
      <vt:variant>
        <vt:i4>5</vt:i4>
      </vt:variant>
      <vt:variant>
        <vt:lpwstr>http://heinonline.org/HOL/Search?collection=journals</vt:lpwstr>
      </vt:variant>
      <vt:variant>
        <vt:lpwstr/>
      </vt:variant>
      <vt:variant>
        <vt:i4>1245237</vt:i4>
      </vt:variant>
      <vt:variant>
        <vt:i4>45</vt:i4>
      </vt:variant>
      <vt:variant>
        <vt:i4>0</vt:i4>
      </vt:variant>
      <vt:variant>
        <vt:i4>5</vt:i4>
      </vt:variant>
      <vt:variant>
        <vt:lpwstr>http://www.humanrightstools.org/index.htm</vt:lpwstr>
      </vt:variant>
      <vt:variant>
        <vt:lpwstr/>
      </vt:variant>
      <vt:variant>
        <vt:i4>3932286</vt:i4>
      </vt:variant>
      <vt:variant>
        <vt:i4>42</vt:i4>
      </vt:variant>
      <vt:variant>
        <vt:i4>0</vt:i4>
      </vt:variant>
      <vt:variant>
        <vt:i4>5</vt:i4>
      </vt:variant>
      <vt:variant>
        <vt:lpwstr>http://www.hrw.org</vt:lpwstr>
      </vt:variant>
      <vt:variant>
        <vt:lpwstr/>
      </vt:variant>
      <vt:variant>
        <vt:i4>2490480</vt:i4>
      </vt:variant>
      <vt:variant>
        <vt:i4>39</vt:i4>
      </vt:variant>
      <vt:variant>
        <vt:i4>0</vt:i4>
      </vt:variant>
      <vt:variant>
        <vt:i4>5</vt:i4>
      </vt:variant>
      <vt:variant>
        <vt:lpwstr>http://www.amnesty.org</vt:lpwstr>
      </vt:variant>
      <vt:variant>
        <vt:lpwstr/>
      </vt:variant>
      <vt:variant>
        <vt:i4>2555994</vt:i4>
      </vt:variant>
      <vt:variant>
        <vt:i4>36</vt:i4>
      </vt:variant>
      <vt:variant>
        <vt:i4>0</vt:i4>
      </vt:variant>
      <vt:variant>
        <vt:i4>5</vt:i4>
      </vt:variant>
      <vt:variant>
        <vt:lpwstr>http://www.echr.coe.int</vt:lpwstr>
      </vt:variant>
      <vt:variant>
        <vt:lpwstr/>
      </vt:variant>
      <vt:variant>
        <vt:i4>917555</vt:i4>
      </vt:variant>
      <vt:variant>
        <vt:i4>33</vt:i4>
      </vt:variant>
      <vt:variant>
        <vt:i4>0</vt:i4>
      </vt:variant>
      <vt:variant>
        <vt:i4>5</vt:i4>
      </vt:variant>
      <vt:variant>
        <vt:lpwstr>http://www.unicef.org</vt:lpwstr>
      </vt:variant>
      <vt:variant>
        <vt:lpwstr/>
      </vt:variant>
      <vt:variant>
        <vt:i4>5439573</vt:i4>
      </vt:variant>
      <vt:variant>
        <vt:i4>30</vt:i4>
      </vt:variant>
      <vt:variant>
        <vt:i4>0</vt:i4>
      </vt:variant>
      <vt:variant>
        <vt:i4>5</vt:i4>
      </vt:variant>
      <vt:variant>
        <vt:lpwstr>http://hdr.undp.org/</vt:lpwstr>
      </vt:variant>
      <vt:variant>
        <vt:lpwstr/>
      </vt:variant>
      <vt:variant>
        <vt:i4>1572940</vt:i4>
      </vt:variant>
      <vt:variant>
        <vt:i4>27</vt:i4>
      </vt:variant>
      <vt:variant>
        <vt:i4>0</vt:i4>
      </vt:variant>
      <vt:variant>
        <vt:i4>5</vt:i4>
      </vt:variant>
      <vt:variant>
        <vt:lpwstr>http://www.unhchr.ch</vt:lpwstr>
      </vt:variant>
      <vt:variant>
        <vt:lpwstr/>
      </vt:variant>
      <vt:variant>
        <vt:i4>131126</vt:i4>
      </vt:variant>
      <vt:variant>
        <vt:i4>24</vt:i4>
      </vt:variant>
      <vt:variant>
        <vt:i4>0</vt:i4>
      </vt:variant>
      <vt:variant>
        <vt:i4>5</vt:i4>
      </vt:variant>
      <vt:variant>
        <vt:lpwstr>http://www.un.org</vt:lpwstr>
      </vt:variant>
      <vt:variant>
        <vt:lpwstr/>
      </vt:variant>
      <vt:variant>
        <vt:i4>3670103</vt:i4>
      </vt:variant>
      <vt:variant>
        <vt:i4>21</vt:i4>
      </vt:variant>
      <vt:variant>
        <vt:i4>0</vt:i4>
      </vt:variant>
      <vt:variant>
        <vt:i4>5</vt:i4>
      </vt:variant>
      <vt:variant>
        <vt:lpwstr>http://www2.ohchr.org/english/law/cedaw.htm</vt:lpwstr>
      </vt:variant>
      <vt:variant>
        <vt:lpwstr/>
      </vt:variant>
      <vt:variant>
        <vt:i4>3342404</vt:i4>
      </vt:variant>
      <vt:variant>
        <vt:i4>18</vt:i4>
      </vt:variant>
      <vt:variant>
        <vt:i4>0</vt:i4>
      </vt:variant>
      <vt:variant>
        <vt:i4>5</vt:i4>
      </vt:variant>
      <vt:variant>
        <vt:lpwstr>http://www.unhchr.ch/tbs/doc.nsf/(Symbol)/ca7694800da16d53c1256d1600396ea6?Opendocument</vt:lpwstr>
      </vt:variant>
      <vt:variant>
        <vt:lpwstr/>
      </vt:variant>
      <vt:variant>
        <vt:i4>2162735</vt:i4>
      </vt:variant>
      <vt:variant>
        <vt:i4>15</vt:i4>
      </vt:variant>
      <vt:variant>
        <vt:i4>0</vt:i4>
      </vt:variant>
      <vt:variant>
        <vt:i4>5</vt:i4>
      </vt:variant>
      <vt:variant>
        <vt:lpwstr>http://www.unhchr.ch/html/menu3/b/a_cescr.htm</vt:lpwstr>
      </vt:variant>
      <vt:variant>
        <vt:lpwstr/>
      </vt:variant>
      <vt:variant>
        <vt:i4>6881281</vt:i4>
      </vt:variant>
      <vt:variant>
        <vt:i4>12</vt:i4>
      </vt:variant>
      <vt:variant>
        <vt:i4>0</vt:i4>
      </vt:variant>
      <vt:variant>
        <vt:i4>5</vt:i4>
      </vt:variant>
      <vt:variant>
        <vt:lpwstr>http://www.unhchr.ch/html/menu3/b/a_ccpr.htm</vt:lpwstr>
      </vt:variant>
      <vt:variant>
        <vt:lpwstr/>
      </vt:variant>
      <vt:variant>
        <vt:i4>5963885</vt:i4>
      </vt:variant>
      <vt:variant>
        <vt:i4>9</vt:i4>
      </vt:variant>
      <vt:variant>
        <vt:i4>0</vt:i4>
      </vt:variant>
      <vt:variant>
        <vt:i4>5</vt:i4>
      </vt:variant>
      <vt:variant>
        <vt:lpwstr>http://www.ohchr.org/Documents/Publications/NGOHandbooken.pdf</vt:lpwstr>
      </vt:variant>
      <vt:variant>
        <vt:lpwstr/>
      </vt:variant>
      <vt:variant>
        <vt:i4>1310782</vt:i4>
      </vt:variant>
      <vt:variant>
        <vt:i4>6</vt:i4>
      </vt:variant>
      <vt:variant>
        <vt:i4>0</vt:i4>
      </vt:variant>
      <vt:variant>
        <vt:i4>5</vt:i4>
      </vt:variant>
      <vt:variant>
        <vt:lpwstr>http://www.udhr.org/index.htm</vt:lpwstr>
      </vt:variant>
      <vt:variant>
        <vt:lpwstr/>
      </vt:variant>
      <vt:variant>
        <vt:i4>1572963</vt:i4>
      </vt:variant>
      <vt:variant>
        <vt:i4>3</vt:i4>
      </vt:variant>
      <vt:variant>
        <vt:i4>0</vt:i4>
      </vt:variant>
      <vt:variant>
        <vt:i4>5</vt:i4>
      </vt:variant>
      <vt:variant>
        <vt:lpwstr>http://www.unhchr.ch/</vt:lpwstr>
      </vt:variant>
      <vt:variant>
        <vt:lpwstr/>
      </vt:variant>
      <vt:variant>
        <vt:i4>1048654</vt:i4>
      </vt:variant>
      <vt:variant>
        <vt:i4>0</vt:i4>
      </vt:variant>
      <vt:variant>
        <vt:i4>0</vt:i4>
      </vt:variant>
      <vt:variant>
        <vt:i4>5</vt:i4>
      </vt:variant>
      <vt:variant>
        <vt:lpwstr>mailto:fazaelr@tcd.ie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Rights: Theory and Practice</dc:title>
  <dc:subject/>
  <dc:creator>Roja Fazaeli</dc:creator>
  <cp:keywords/>
  <dc:description/>
  <cp:lastModifiedBy>Roja Fazaeli</cp:lastModifiedBy>
  <cp:revision>2</cp:revision>
  <cp:lastPrinted>2009-01-07T16:50:00Z</cp:lastPrinted>
  <dcterms:created xsi:type="dcterms:W3CDTF">2018-01-18T19:00:00Z</dcterms:created>
  <dcterms:modified xsi:type="dcterms:W3CDTF">2018-01-18T19:00:00Z</dcterms:modified>
</cp:coreProperties>
</file>