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3D93" w:rsidRDefault="00BD52C1" w:rsidP="00515801">
      <w:pPr>
        <w:rPr>
          <w:b/>
        </w:rPr>
      </w:pPr>
      <w:r w:rsidRPr="00BD52C1">
        <w:rPr>
          <w:b/>
        </w:rPr>
        <w:t xml:space="preserve">Loading the </w:t>
      </w:r>
      <w:r w:rsidR="001E0767">
        <w:rPr>
          <w:b/>
        </w:rPr>
        <w:t xml:space="preserve">Carryover decontamination </w:t>
      </w:r>
      <w:r w:rsidR="00387AD1">
        <w:rPr>
          <w:b/>
        </w:rPr>
        <w:t>PostRun</w:t>
      </w:r>
      <w:r w:rsidRPr="00BD52C1">
        <w:rPr>
          <w:b/>
        </w:rPr>
        <w:t>Wash</w:t>
      </w:r>
      <w:r w:rsidR="00387AD1">
        <w:rPr>
          <w:b/>
        </w:rPr>
        <w:t>.xml</w:t>
      </w:r>
      <w:r w:rsidRPr="00BD52C1">
        <w:rPr>
          <w:b/>
        </w:rPr>
        <w:t xml:space="preserve"> Recipe Fragment in to the Recipe </w:t>
      </w:r>
    </w:p>
    <w:p w:rsidR="00B27C60" w:rsidRDefault="00BD52C1" w:rsidP="00515801">
      <w:r>
        <w:rPr>
          <w:b/>
        </w:rPr>
        <w:tab/>
      </w:r>
      <w:r w:rsidRPr="00BD52C1">
        <w:t>The carryover decontamination wash</w:t>
      </w:r>
      <w:r>
        <w:t xml:space="preserve"> can be performed within any recipe</w:t>
      </w:r>
      <w:r w:rsidR="00B27C60">
        <w:t xml:space="preserve">.  All that is required is replacing the current PostRunWash.xml inside the “Wash” folder with the PostRunWash.xml provided for carryover </w:t>
      </w:r>
      <w:r w:rsidR="00500422">
        <w:t>de</w:t>
      </w:r>
      <w:r w:rsidR="00B27C60">
        <w:t>contamination.</w:t>
      </w:r>
    </w:p>
    <w:p w:rsidR="00B27C60" w:rsidRDefault="00B27C60" w:rsidP="00B27C60">
      <w:pPr>
        <w:pStyle w:val="ListParagraph"/>
        <w:numPr>
          <w:ilvl w:val="0"/>
          <w:numId w:val="2"/>
        </w:numPr>
      </w:pPr>
      <w:r>
        <w:t xml:space="preserve"> Open the desired recipe folder.</w:t>
      </w:r>
    </w:p>
    <w:p w:rsidR="00B27C60" w:rsidRDefault="00B27C60" w:rsidP="00B27C60">
      <w:pPr>
        <w:pStyle w:val="ListParagraph"/>
        <w:numPr>
          <w:ilvl w:val="0"/>
          <w:numId w:val="2"/>
        </w:numPr>
      </w:pPr>
      <w:r>
        <w:t>Open the “Wash” folder within the recipe folder</w:t>
      </w:r>
    </w:p>
    <w:p w:rsidR="00B27C60" w:rsidRDefault="00B27C60" w:rsidP="00B27C60">
      <w:pPr>
        <w:pStyle w:val="ListParagraph"/>
        <w:numPr>
          <w:ilvl w:val="0"/>
          <w:numId w:val="2"/>
        </w:numPr>
      </w:pPr>
      <w:r>
        <w:t>Rename the current PostRunWash.xml to OriginalPostRunWash.xml</w:t>
      </w:r>
    </w:p>
    <w:p w:rsidR="00B27C60" w:rsidRDefault="00B27C60" w:rsidP="00B27C60">
      <w:pPr>
        <w:pStyle w:val="ListParagraph"/>
        <w:numPr>
          <w:ilvl w:val="0"/>
          <w:numId w:val="2"/>
        </w:numPr>
      </w:pPr>
      <w:r>
        <w:t>Copy the provided carryover decontamination PostRunWash.xml in to the wash folder</w:t>
      </w:r>
    </w:p>
    <w:p w:rsidR="00B27C60" w:rsidRDefault="00B27C60" w:rsidP="00B27C60">
      <w:pPr>
        <w:pStyle w:val="ListParagraph"/>
        <w:ind w:left="765"/>
      </w:pPr>
    </w:p>
    <w:p w:rsidR="00B27C60" w:rsidRDefault="00B27C60" w:rsidP="00B27C60">
      <w:pPr>
        <w:pStyle w:val="ListParagraph"/>
        <w:ind w:left="765"/>
      </w:pPr>
      <w:r>
        <w:t xml:space="preserve">If you want the </w:t>
      </w:r>
      <w:r w:rsidR="00A14320">
        <w:t xml:space="preserve">instrument </w:t>
      </w:r>
      <w:r>
        <w:t xml:space="preserve">default post run wash to be the carryover decontamination wash (i.e., </w:t>
      </w:r>
      <w:r w:rsidR="00A14320">
        <w:t xml:space="preserve">running a post-run wash directly from the home screen or running a wash after opening MCS and prior to starting a run) you will need to repeat the above steps for the </w:t>
      </w:r>
      <w:r w:rsidR="00A14320" w:rsidRPr="00A14320">
        <w:t>c</w:t>
      </w:r>
      <w:r w:rsidR="00A14320">
        <w:t>:</w:t>
      </w:r>
      <w:r w:rsidR="00A14320" w:rsidRPr="00A14320">
        <w:t>\Illumina\MiSeq Control Software\Recipe\V1\Default\Wash</w:t>
      </w:r>
      <w:r w:rsidR="00A14320">
        <w:t xml:space="preserve"> folder and the </w:t>
      </w:r>
      <w:r w:rsidR="00A14320" w:rsidRPr="00A14320">
        <w:t>c</w:t>
      </w:r>
      <w:r w:rsidR="00A14320">
        <w:t>:</w:t>
      </w:r>
      <w:r w:rsidR="00A14320" w:rsidRPr="00A14320">
        <w:t>\Illumina\MiSeq Control Software\Recipe\V</w:t>
      </w:r>
      <w:r w:rsidR="00A14320">
        <w:t>2</w:t>
      </w:r>
      <w:r w:rsidR="00A14320" w:rsidRPr="00A14320">
        <w:t>\Default\Wash</w:t>
      </w:r>
      <w:r w:rsidR="00A14320">
        <w:t>.  The software automatically defaults to the washes in these recipes unless the post run wash is executed after the run is complete and before turning off or restarting MCS.</w:t>
      </w:r>
    </w:p>
    <w:p w:rsidR="00F53D93" w:rsidRDefault="00F53D93" w:rsidP="00515801"/>
    <w:p w:rsidR="00F53D93" w:rsidRPr="00F53D93" w:rsidRDefault="00F53D93" w:rsidP="00515801">
      <w:pPr>
        <w:rPr>
          <w:b/>
        </w:rPr>
      </w:pPr>
      <w:r w:rsidRPr="00F53D93">
        <w:rPr>
          <w:b/>
        </w:rPr>
        <w:t>Preparation of dilute sodium hypochlorite and performing the post run wash:</w:t>
      </w:r>
    </w:p>
    <w:p w:rsidR="001E1F1D" w:rsidRDefault="00515801" w:rsidP="00515801">
      <w:pPr>
        <w:pStyle w:val="ListParagraph"/>
        <w:numPr>
          <w:ilvl w:val="0"/>
          <w:numId w:val="1"/>
        </w:numPr>
      </w:pPr>
      <w:r>
        <w:t xml:space="preserve">Prepare a fresh 1mL solution of 0.01% Sodium Hypochlorite.  </w:t>
      </w:r>
      <w:r w:rsidRPr="00500422">
        <w:rPr>
          <w:b/>
          <w:i/>
        </w:rPr>
        <w:t>This solution should be made fresh each day</w:t>
      </w:r>
      <w:r>
        <w:t xml:space="preserve">.  </w:t>
      </w:r>
    </w:p>
    <w:p w:rsidR="00515801" w:rsidRDefault="00515801" w:rsidP="00515801">
      <w:pPr>
        <w:pStyle w:val="ListParagraph"/>
        <w:numPr>
          <w:ilvl w:val="1"/>
          <w:numId w:val="1"/>
        </w:numPr>
      </w:pPr>
      <w:r>
        <w:t xml:space="preserve">For standard Clorox bleach (6% sodium hypochlorite) add 30uL of bleach to 870uL of PW1 or reagent grade water (1:30 dilution).  </w:t>
      </w:r>
      <w:r w:rsidRPr="00761CE3">
        <w:rPr>
          <w:b/>
          <w:i/>
        </w:rPr>
        <w:t>DO NOT</w:t>
      </w:r>
      <w:r>
        <w:t xml:space="preserve"> use tap water.</w:t>
      </w:r>
    </w:p>
    <w:p w:rsidR="00515801" w:rsidRDefault="00515801" w:rsidP="00515801">
      <w:pPr>
        <w:pStyle w:val="ListParagraph"/>
        <w:numPr>
          <w:ilvl w:val="1"/>
          <w:numId w:val="1"/>
        </w:numPr>
      </w:pPr>
      <w:r>
        <w:t xml:space="preserve">Next dilute again by adding 50uL of 1:30 dilution to 950uL of PW1 or reagent grade water in a small </w:t>
      </w:r>
      <w:r w:rsidR="00500422">
        <w:t>MiSeq</w:t>
      </w:r>
      <w:r>
        <w:t xml:space="preserve"> tube (</w:t>
      </w:r>
      <w:r w:rsidR="00500422">
        <w:t>Illumina</w:t>
      </w:r>
      <w:r>
        <w:t xml:space="preserve"> PN:  </w:t>
      </w:r>
      <w:r w:rsidR="00EA1202">
        <w:t>15021932)</w:t>
      </w:r>
      <w:r>
        <w:t xml:space="preserve">.  Mix well by </w:t>
      </w:r>
      <w:r w:rsidR="00500422">
        <w:t>vortexing</w:t>
      </w:r>
      <w:r>
        <w:t xml:space="preserve"> carefully (avoid splashing) or pipetting up and down with a p1000 set to 900uL </w:t>
      </w:r>
    </w:p>
    <w:p w:rsidR="00EA1202" w:rsidRDefault="00EA1202" w:rsidP="00515801">
      <w:pPr>
        <w:pStyle w:val="ListParagraph"/>
        <w:numPr>
          <w:ilvl w:val="1"/>
          <w:numId w:val="1"/>
        </w:numPr>
      </w:pPr>
      <w:r>
        <w:t>If using other stock concentrations of sodium hypochlorite perform appropriate dilutions to achieve 1mL of 0.01% sodium hypochlorite final.</w:t>
      </w:r>
    </w:p>
    <w:p w:rsidR="00EA1202" w:rsidRDefault="00EA1202" w:rsidP="00EA1202">
      <w:pPr>
        <w:pStyle w:val="ListParagraph"/>
        <w:numPr>
          <w:ilvl w:val="0"/>
          <w:numId w:val="1"/>
        </w:numPr>
      </w:pPr>
      <w:r>
        <w:t xml:space="preserve">Fill a </w:t>
      </w:r>
      <w:r w:rsidR="00500422">
        <w:t>MiSeq</w:t>
      </w:r>
      <w:r w:rsidR="00387AD1">
        <w:t xml:space="preserve"> wash tray with water</w:t>
      </w:r>
      <w:r>
        <w:t xml:space="preserve"> as normally would be done for a post run wash. </w:t>
      </w:r>
    </w:p>
    <w:p w:rsidR="00EA1202" w:rsidRDefault="00EA1202" w:rsidP="00EA1202">
      <w:pPr>
        <w:pStyle w:val="ListParagraph"/>
        <w:numPr>
          <w:ilvl w:val="0"/>
          <w:numId w:val="1"/>
        </w:numPr>
      </w:pPr>
      <w:r>
        <w:t xml:space="preserve">Insert the 0.01% sodium hypochlorite </w:t>
      </w:r>
      <w:r w:rsidR="00500422">
        <w:t>MiSeq</w:t>
      </w:r>
      <w:r>
        <w:t xml:space="preserve"> tube into position 17 of the </w:t>
      </w:r>
      <w:r w:rsidR="00500422">
        <w:t>MiSeq</w:t>
      </w:r>
      <w:r>
        <w:t xml:space="preserve"> wash tray.  This will displace the water from position 17.  The </w:t>
      </w:r>
      <w:r w:rsidR="00500422">
        <w:t>MiSeq</w:t>
      </w:r>
      <w:r>
        <w:t xml:space="preserve"> tube should be pushed down until the neck is flush with the tray in position 17.</w:t>
      </w:r>
    </w:p>
    <w:p w:rsidR="00F53D93" w:rsidRDefault="00BD52C1" w:rsidP="00F53D9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5B6D33" wp14:editId="2879150C">
                <wp:simplePos x="0" y="0"/>
                <wp:positionH relativeFrom="column">
                  <wp:posOffset>2687541</wp:posOffset>
                </wp:positionH>
                <wp:positionV relativeFrom="paragraph">
                  <wp:posOffset>894660</wp:posOffset>
                </wp:positionV>
                <wp:extent cx="381662" cy="0"/>
                <wp:effectExtent l="0" t="76200" r="18415" b="1143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662" cy="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211.6pt;margin-top:70.45pt;width:30.05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" strokecolor="red" strokeweight="2pt">
                <v:stroke endarrow="ope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82926D4" wp14:editId="6DC37911">
            <wp:extent cx="2570927" cy="1927960"/>
            <wp:effectExtent l="0" t="0" r="1270" b="0"/>
            <wp:docPr id="1" name="Picture 1" descr="C:\Users\gsakaldasis\AppData\Local\Microsoft\Windows\Temporary Internet Files\Content.Outlook\CH0JU4Q9\ph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sakaldasis\AppData\Local\Microsoft\Windows\Temporary Internet Files\Content.Outlook\CH0JU4Q9\photo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9209" cy="1926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      </w:t>
      </w:r>
      <w:r>
        <w:rPr>
          <w:noProof/>
        </w:rPr>
        <w:drawing>
          <wp:inline distT="0" distB="0" distL="0" distR="0" wp14:anchorId="7F086A26" wp14:editId="00DD2015">
            <wp:extent cx="2584182" cy="1937900"/>
            <wp:effectExtent l="0" t="0" r="6985" b="5715"/>
            <wp:docPr id="2" name="Picture 2" descr="C:\Users\gsakaldasis\AppData\Local\Microsoft\Windows\Temporary Internet Files\Content.Outlook\CH0JU4Q9\photo (3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sakaldasis\AppData\Local\Microsoft\Windows\Temporary Internet Files\Content.Outlook\CH0JU4Q9\photo (3)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4183" cy="1937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1202" w:rsidRDefault="00EA1202" w:rsidP="00EA1202">
      <w:pPr>
        <w:pStyle w:val="ListParagraph"/>
        <w:numPr>
          <w:ilvl w:val="0"/>
          <w:numId w:val="1"/>
        </w:numPr>
      </w:pPr>
      <w:r>
        <w:t>Load the wash tray on to the instrument and perform the post-run wash</w:t>
      </w:r>
    </w:p>
    <w:p w:rsidR="00EA1202" w:rsidRDefault="00EA1202" w:rsidP="00EA1202">
      <w:pPr>
        <w:pStyle w:val="ListParagraph"/>
        <w:numPr>
          <w:ilvl w:val="0"/>
          <w:numId w:val="1"/>
        </w:numPr>
      </w:pPr>
      <w:r>
        <w:t>After the wash is complete</w:t>
      </w:r>
      <w:r w:rsidR="00500422">
        <w:t>,</w:t>
      </w:r>
      <w:r>
        <w:t xml:space="preserve"> a small amount of water will remain in the </w:t>
      </w:r>
      <w:r w:rsidR="00500422">
        <w:t>MiSeq</w:t>
      </w:r>
      <w:r>
        <w:t xml:space="preserve"> tube in position 17.</w:t>
      </w:r>
    </w:p>
    <w:p w:rsidR="00EA1202" w:rsidRDefault="00EA1202" w:rsidP="00EA1202">
      <w:pPr>
        <w:pStyle w:val="ListParagraph"/>
        <w:numPr>
          <w:ilvl w:val="0"/>
          <w:numId w:val="1"/>
        </w:numPr>
      </w:pPr>
      <w:r>
        <w:t xml:space="preserve">Total wash time should take approximately 30 minutes which includes the carryover wash as well as the default </w:t>
      </w:r>
      <w:r w:rsidR="00500422">
        <w:t>MiSeq</w:t>
      </w:r>
      <w:r>
        <w:t xml:space="preserve"> post run wash.   </w:t>
      </w:r>
    </w:p>
    <w:p w:rsidR="00CD4EC3" w:rsidRPr="0081251A" w:rsidRDefault="00CD4EC3" w:rsidP="00CD4EC3">
      <w:pPr>
        <w:rPr>
          <w:b/>
        </w:rPr>
      </w:pPr>
      <w:r w:rsidRPr="0081251A">
        <w:rPr>
          <w:b/>
        </w:rPr>
        <w:t>Explanation of Wash</w:t>
      </w:r>
    </w:p>
    <w:p w:rsidR="00CD4EC3" w:rsidRDefault="00CD4EC3" w:rsidP="00CD4EC3">
      <w:r>
        <w:rPr>
          <w:b/>
        </w:rPr>
        <w:tab/>
      </w:r>
      <w:r w:rsidRPr="00CD4EC3">
        <w:t>The goal of this wash is to reduce the amount of DNA template</w:t>
      </w:r>
      <w:r>
        <w:t xml:space="preserve"> that is carried over from one run to the next.  This </w:t>
      </w:r>
      <w:r w:rsidR="0081251A">
        <w:t xml:space="preserve">template </w:t>
      </w:r>
      <w:r>
        <w:t>carryover contamination can be reduced through the use of a decontamination wash using a dilute solution of sodium hypochlorite (0.01%) in a small MiSeq tube loaded in to the template position in a MiSeq wash tray.  The wash recipe contains 2 parts.  First the decontamination wash is performed.  This takes approximately 20 minutes and consists of the following steps</w:t>
      </w:r>
      <w:r w:rsidR="0081251A">
        <w:t>:</w:t>
      </w:r>
    </w:p>
    <w:p w:rsidR="0081251A" w:rsidRDefault="0081251A" w:rsidP="00CD4EC3">
      <w:r>
        <w:t xml:space="preserve">     </w:t>
      </w:r>
      <w:r w:rsidR="00CF5703">
        <w:rPr>
          <w:noProof/>
        </w:rPr>
        <w:drawing>
          <wp:inline distT="0" distB="0" distL="0" distR="0" wp14:anchorId="7D5D1741" wp14:editId="2183BEC0">
            <wp:extent cx="5001371" cy="3354794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37652" t="23005" r="12881" b="21436"/>
                    <a:stretch/>
                  </pic:blipFill>
                  <pic:spPr bwMode="auto">
                    <a:xfrm>
                      <a:off x="0" y="0"/>
                      <a:ext cx="5016468" cy="33649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1251A" w:rsidRDefault="0081251A" w:rsidP="00CF5703">
      <w:pPr>
        <w:ind w:firstLine="720"/>
      </w:pPr>
      <w:r>
        <w:lastRenderedPageBreak/>
        <w:t xml:space="preserve">This series of steps is intended to </w:t>
      </w:r>
      <w:r w:rsidR="00CF5703">
        <w:t>pump</w:t>
      </w:r>
      <w:r>
        <w:t xml:space="preserve"> the decontamination solution through the </w:t>
      </w:r>
      <w:r w:rsidR="00F852F2">
        <w:t xml:space="preserve">system and then </w:t>
      </w:r>
      <w:r w:rsidR="006B4F30">
        <w:t>uses multiple</w:t>
      </w:r>
      <w:r>
        <w:t xml:space="preserve"> steps to </w:t>
      </w:r>
      <w:r w:rsidR="00387AD1">
        <w:t xml:space="preserve">deliver water to </w:t>
      </w:r>
      <w:r>
        <w:t>dilute the sodium hypochlorite solution in position 17 to minimal levels</w:t>
      </w:r>
      <w:r w:rsidR="00387AD1">
        <w:t xml:space="preserve"> (as well as washing the </w:t>
      </w:r>
      <w:r w:rsidR="00761CE3">
        <w:t>common line</w:t>
      </w:r>
      <w:bookmarkStart w:id="0" w:name="_GoBack"/>
      <w:bookmarkEnd w:id="0"/>
      <w:r w:rsidR="00387AD1">
        <w:t>)</w:t>
      </w:r>
      <w:r>
        <w:t>.</w:t>
      </w:r>
      <w:r w:rsidR="00387AD1">
        <w:t xml:space="preserve"> </w:t>
      </w:r>
      <w:r>
        <w:t xml:space="preserve">  Following the decontamination steps the recipe includes a standard MiSeq default post run wash with optimized dispense speeds.  This portion of the wash takes approximately 10 minutes.  Total time for both steps is 30 minutes.</w:t>
      </w:r>
    </w:p>
    <w:p w:rsidR="0081251A" w:rsidRPr="00CD4EC3" w:rsidRDefault="0081251A" w:rsidP="00CD4EC3"/>
    <w:sectPr w:rsidR="0081251A" w:rsidRPr="00CD4E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B7BDC"/>
    <w:multiLevelType w:val="hybridMultilevel"/>
    <w:tmpl w:val="835841C2"/>
    <w:lvl w:ilvl="0" w:tplc="89DA0A2C">
      <w:start w:val="1"/>
      <w:numFmt w:val="decimal"/>
      <w:lvlText w:val="%1)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>
    <w:nsid w:val="6A237C76"/>
    <w:multiLevelType w:val="hybridMultilevel"/>
    <w:tmpl w:val="C22A41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5801"/>
    <w:rsid w:val="001E0767"/>
    <w:rsid w:val="001E1F1D"/>
    <w:rsid w:val="00387AD1"/>
    <w:rsid w:val="00500422"/>
    <w:rsid w:val="00515801"/>
    <w:rsid w:val="006B4F30"/>
    <w:rsid w:val="00761CE3"/>
    <w:rsid w:val="0081251A"/>
    <w:rsid w:val="00A14320"/>
    <w:rsid w:val="00B27C60"/>
    <w:rsid w:val="00BD52C1"/>
    <w:rsid w:val="00CD4EC3"/>
    <w:rsid w:val="00CF5703"/>
    <w:rsid w:val="00EA1202"/>
    <w:rsid w:val="00F53D93"/>
    <w:rsid w:val="00F85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580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D52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52C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580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D52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52C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525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516</Words>
  <Characters>2945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Illumina, Inc.</Company>
  <LinksUpToDate>false</LinksUpToDate>
  <CharactersWithSpaces>3455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2013-07-03T17:49:00Z</dcterms:created>
  <dcterms:modified xsi:type="dcterms:W3CDTF">2013-07-03T17:52:00Z</dcterms:modified>
</cp:coreProperties>
</file>