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 xml:space="preserve">Melissa Duncan </w:t>
      </w:r>
      <w:proofErr w:type="spellStart"/>
      <w:r>
        <w:rPr>
          <w:rFonts w:ascii="Times New Roman" w:hAnsi="Times New Roman" w:cs="Times New Roman"/>
        </w:rPr>
        <w:t>Fallone</w:t>
      </w:r>
      <w:proofErr w:type="spellEnd"/>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bookmarkStart w:id="0" w:name="_GoBack"/>
      <w:bookmarkEnd w:id="0"/>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27C85C2B"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w:t>
      </w:r>
      <w:proofErr w:type="spellStart"/>
      <w:r w:rsidR="001F1970">
        <w:rPr>
          <w:rFonts w:ascii="Times New Roman" w:hAnsi="Times New Roman" w:cs="Times New Roman"/>
        </w:rPr>
        <w:t>Landauer</w:t>
      </w:r>
      <w:proofErr w:type="spellEnd"/>
      <w:r w:rsidR="001F1970">
        <w:rPr>
          <w:rFonts w:ascii="Times New Roman" w:hAnsi="Times New Roman" w:cs="Times New Roman"/>
        </w:rPr>
        <w:t xml:space="preserve"> &amp; </w:t>
      </w:r>
      <w:proofErr w:type="spellStart"/>
      <w:r w:rsidR="001F1970">
        <w:rPr>
          <w:rFonts w:ascii="Times New Roman" w:hAnsi="Times New Roman" w:cs="Times New Roman"/>
        </w:rPr>
        <w:t>Dumais</w:t>
      </w:r>
      <w:proofErr w:type="spellEnd"/>
      <w:r w:rsidR="001F1970">
        <w:rPr>
          <w:rFonts w:ascii="Times New Roman" w:hAnsi="Times New Roman" w:cs="Times New Roman"/>
        </w:rPr>
        <w:t>,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w:t>
      </w:r>
      <w:proofErr w:type="spellStart"/>
      <w:r w:rsidRPr="00994292">
        <w:rPr>
          <w:rFonts w:ascii="Times New Roman" w:hAnsi="Times New Roman" w:cs="Times New Roman"/>
        </w:rPr>
        <w:t>Morizet</w:t>
      </w:r>
      <w:proofErr w:type="spellEnd"/>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 xml:space="preserve">mate choices, </w:t>
      </w:r>
      <w:r w:rsidR="00296B55" w:rsidRPr="00994292">
        <w:rPr>
          <w:rFonts w:ascii="Times New Roman" w:hAnsi="Times New Roman" w:cs="Times New Roman"/>
        </w:rPr>
        <w:lastRenderedPageBreak/>
        <w:t>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5517089C"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proofErr w:type="spellStart"/>
      <w:r w:rsidR="003E4EB4" w:rsidRPr="00994292">
        <w:rPr>
          <w:rFonts w:ascii="Times New Roman" w:hAnsi="Times New Roman" w:cs="Times New Roman"/>
        </w:rPr>
        <w:t>Botwin</w:t>
      </w:r>
      <w:proofErr w:type="spellEnd"/>
      <w:r w:rsidR="007219D2" w:rsidRPr="00994292">
        <w:rPr>
          <w:rFonts w:ascii="Times New Roman" w:hAnsi="Times New Roman" w:cs="Times New Roman"/>
        </w:rPr>
        <w:t>, Buss</w:t>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proofErr w:type="spellStart"/>
      <w:r w:rsidR="00340380" w:rsidRPr="00994292">
        <w:rPr>
          <w:rFonts w:ascii="Times New Roman" w:hAnsi="Times New Roman" w:cs="Times New Roman"/>
        </w:rPr>
        <w:t>Botwin</w:t>
      </w:r>
      <w:proofErr w:type="spellEnd"/>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between partners</w:t>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w:t>
      </w:r>
      <w:r w:rsidR="00990158">
        <w:rPr>
          <w:rFonts w:ascii="Times New Roman" w:hAnsi="Times New Roman" w:cs="Times New Roman"/>
        </w:rPr>
        <w:lastRenderedPageBreak/>
        <w:t xml:space="preserve">(McCrae </w:t>
      </w:r>
      <w:r w:rsidR="00DC2D54">
        <w:rPr>
          <w:rFonts w:ascii="Times New Roman" w:hAnsi="Times New Roman" w:cs="Times New Roman"/>
        </w:rPr>
        <w:t xml:space="preserve">&amp; </w:t>
      </w:r>
      <w:r w:rsidR="00990158">
        <w:rPr>
          <w:rFonts w:ascii="Times New Roman" w:hAnsi="Times New Roman" w:cs="Times New Roman"/>
        </w:rPr>
        <w:t>John</w:t>
      </w:r>
      <w:r w:rsidR="00DC2D54">
        <w:rPr>
          <w:rFonts w:ascii="Times New Roman" w:hAnsi="Times New Roman" w:cs="Times New Roman"/>
        </w:rPr>
        <w:t xml:space="preserve">, </w:t>
      </w:r>
      <w:r w:rsidR="00990158">
        <w:rPr>
          <w:rFonts w:ascii="Times New Roman" w:hAnsi="Times New Roman" w:cs="Times New Roman"/>
        </w:rPr>
        <w:t xml:space="preserve">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w:t>
      </w:r>
      <w:proofErr w:type="spellStart"/>
      <w:r w:rsidR="003E1A48" w:rsidRPr="00994292">
        <w:rPr>
          <w:rFonts w:ascii="Times New Roman" w:hAnsi="Times New Roman" w:cs="Times New Roman"/>
        </w:rPr>
        <w:t>Botwin</w:t>
      </w:r>
      <w:proofErr w:type="spellEnd"/>
      <w:r w:rsidR="003E1A48" w:rsidRPr="00994292">
        <w:rPr>
          <w:rFonts w:ascii="Times New Roman" w:hAnsi="Times New Roman" w:cs="Times New Roman"/>
        </w:rPr>
        <w:t xml:space="preserve">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proofErr w:type="spellStart"/>
      <w:r w:rsidRPr="00994292">
        <w:rPr>
          <w:rFonts w:ascii="Times New Roman" w:hAnsi="Times New Roman" w:cs="Times New Roman"/>
        </w:rPr>
        <w:t>Botwi</w:t>
      </w:r>
      <w:r w:rsidR="003E1A48" w:rsidRPr="00994292">
        <w:rPr>
          <w:rFonts w:ascii="Times New Roman" w:hAnsi="Times New Roman" w:cs="Times New Roman"/>
        </w:rPr>
        <w:t>n</w:t>
      </w:r>
      <w:proofErr w:type="spellEnd"/>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Penke</w:t>
      </w:r>
      <w:proofErr w:type="spellEnd"/>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Schmukle</w:t>
      </w:r>
      <w:proofErr w:type="spellEnd"/>
      <w:r w:rsidR="00914510" w:rsidRPr="00994292">
        <w:rPr>
          <w:rFonts w:ascii="Times New Roman" w:hAnsi="Times New Roman" w:cs="Times New Roman"/>
        </w:rPr>
        <w:t xml:space="preserve">, and </w:t>
      </w:r>
      <w:proofErr w:type="spellStart"/>
      <w:r w:rsidR="00914510" w:rsidRPr="00994292">
        <w:rPr>
          <w:rFonts w:ascii="Times New Roman" w:hAnsi="Times New Roman" w:cs="Times New Roman"/>
        </w:rPr>
        <w:t>Asendorpf</w:t>
      </w:r>
      <w:proofErr w:type="spellEnd"/>
      <w:r w:rsidR="00914510" w:rsidRPr="00994292">
        <w:rPr>
          <w:rFonts w:ascii="Times New Roman" w:hAnsi="Times New Roman" w:cs="Times New Roman"/>
        </w:rPr>
        <w:t xml:space="preserve">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proofErr w:type="spellStart"/>
      <w:r w:rsidR="00F07AC0" w:rsidRPr="00994292">
        <w:rPr>
          <w:rFonts w:ascii="Times New Roman" w:hAnsi="Times New Roman" w:cs="Times New Roman"/>
        </w:rPr>
        <w:t>Landauer</w:t>
      </w:r>
      <w:proofErr w:type="spellEnd"/>
      <w:r w:rsidR="00544D8F" w:rsidRPr="00994292">
        <w:rPr>
          <w:rFonts w:ascii="Times New Roman" w:hAnsi="Times New Roman" w:cs="Times New Roman"/>
        </w:rPr>
        <w:t xml:space="preserve">, </w:t>
      </w:r>
      <w:proofErr w:type="spellStart"/>
      <w:r w:rsidR="00544D8F" w:rsidRPr="00994292">
        <w:rPr>
          <w:rFonts w:ascii="Times New Roman" w:hAnsi="Times New Roman" w:cs="Times New Roman"/>
        </w:rPr>
        <w:t>Folt</w:t>
      </w:r>
      <w:proofErr w:type="spellEnd"/>
      <w:r w:rsidR="00544D8F" w:rsidRPr="00994292">
        <w:rPr>
          <w:rFonts w:ascii="Times New Roman" w:hAnsi="Times New Roman" w:cs="Times New Roman"/>
        </w:rPr>
        <w:t xml:space="preserve">, &amp; </w:t>
      </w:r>
      <w:proofErr w:type="spellStart"/>
      <w:r w:rsidR="00544D8F" w:rsidRPr="00994292">
        <w:rPr>
          <w:rFonts w:ascii="Times New Roman" w:hAnsi="Times New Roman" w:cs="Times New Roman"/>
        </w:rPr>
        <w:t>Laham</w:t>
      </w:r>
      <w:proofErr w:type="spellEnd"/>
      <w:r w:rsidR="00544D8F" w:rsidRPr="00994292">
        <w:rPr>
          <w:rFonts w:ascii="Times New Roman" w:hAnsi="Times New Roman" w:cs="Times New Roman"/>
        </w:rPr>
        <w:t>,</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xml:space="preserve">. All participants were enrolled in an introductory psychology course and received two </w:t>
      </w:r>
      <w:r w:rsidR="00C2000D" w:rsidRPr="00994292">
        <w:rPr>
          <w:rFonts w:ascii="Times New Roman" w:hAnsi="Times New Roman" w:cs="Times New Roman"/>
        </w:rPr>
        <w:lastRenderedPageBreak/>
        <w:t>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w:t>
      </w:r>
      <w:proofErr w:type="spellStart"/>
      <w:r w:rsidR="00197DED" w:rsidRPr="00994292">
        <w:rPr>
          <w:rFonts w:ascii="Times New Roman" w:hAnsi="Times New Roman" w:cs="Times New Roman"/>
        </w:rPr>
        <w:t>Morizot</w:t>
      </w:r>
      <w:proofErr w:type="spellEnd"/>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w:t>
      </w:r>
      <w:r w:rsidRPr="00994292">
        <w:rPr>
          <w:rFonts w:ascii="Times New Roman" w:hAnsi="Times New Roman" w:cs="Times New Roman"/>
        </w:rPr>
        <w:lastRenderedPageBreak/>
        <w:t xml:space="preserve">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proofErr w:type="spellStart"/>
      <w:r w:rsidR="00527B4B" w:rsidRPr="00F44919">
        <w:rPr>
          <w:rFonts w:ascii="Times New Roman" w:hAnsi="Times New Roman" w:cs="Times New Roman"/>
          <w:i/>
        </w:rPr>
        <w:t>lsa</w:t>
      </w:r>
      <w:proofErr w:type="spellEnd"/>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w:t>
      </w:r>
      <w:proofErr w:type="spellStart"/>
      <w:r w:rsidR="003F5771">
        <w:rPr>
          <w:rFonts w:ascii="Times New Roman" w:hAnsi="Times New Roman" w:cs="Times New Roman"/>
        </w:rPr>
        <w:t>Rajaraman</w:t>
      </w:r>
      <w:proofErr w:type="spellEnd"/>
      <w:r w:rsidR="003F5771">
        <w:rPr>
          <w:rFonts w:ascii="Times New Roman" w:hAnsi="Times New Roman" w:cs="Times New Roman"/>
        </w:rPr>
        <w:t xml:space="preserve">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w:t>
      </w:r>
      <w:proofErr w:type="spellStart"/>
      <w:r w:rsidR="000F5FA5" w:rsidRPr="00994292">
        <w:rPr>
          <w:rFonts w:ascii="Times New Roman" w:hAnsi="Times New Roman" w:cs="Times New Roman"/>
        </w:rPr>
        <w:t>Tab</w:t>
      </w:r>
      <w:r w:rsidR="001A71A1" w:rsidRPr="00994292">
        <w:rPr>
          <w:rFonts w:ascii="Times New Roman" w:hAnsi="Times New Roman" w:cs="Times New Roman"/>
        </w:rPr>
        <w:t>a</w:t>
      </w:r>
      <w:r w:rsidR="000F5FA5" w:rsidRPr="00994292">
        <w:rPr>
          <w:rFonts w:ascii="Times New Roman" w:hAnsi="Times New Roman" w:cs="Times New Roman"/>
        </w:rPr>
        <w:t>chnick</w:t>
      </w:r>
      <w:proofErr w:type="spellEnd"/>
      <w:r w:rsidR="000F5FA5" w:rsidRPr="00994292">
        <w:rPr>
          <w:rFonts w:ascii="Times New Roman" w:hAnsi="Times New Roman" w:cs="Times New Roman"/>
        </w:rPr>
        <w:t xml:space="preserve"> &amp; </w:t>
      </w:r>
      <w:proofErr w:type="spellStart"/>
      <w:r w:rsidR="000F5FA5" w:rsidRPr="00994292">
        <w:rPr>
          <w:rFonts w:ascii="Times New Roman" w:hAnsi="Times New Roman" w:cs="Times New Roman"/>
        </w:rPr>
        <w:t>Fidell</w:t>
      </w:r>
      <w:proofErr w:type="spellEnd"/>
      <w:r w:rsidR="000F5FA5" w:rsidRPr="00994292">
        <w:rPr>
          <w:rFonts w:ascii="Times New Roman" w:hAnsi="Times New Roman" w:cs="Times New Roman"/>
        </w:rPr>
        <w:t>,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w:t>
      </w:r>
      <w:proofErr w:type="gramStart"/>
      <w:r w:rsidR="007A2B73">
        <w:rPr>
          <w:rFonts w:ascii="Times New Roman" w:hAnsi="Times New Roman" w:cs="Times New Roman"/>
          <w:color w:val="101010"/>
          <w:vertAlign w:val="subscript"/>
        </w:rPr>
        <w: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w:t>
      </w:r>
      <w:proofErr w:type="gramEnd"/>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 xml:space="preserve">and was excluded. Data were then screened for </w:t>
      </w:r>
      <w:r w:rsidR="00002262" w:rsidRPr="00994292">
        <w:rPr>
          <w:rFonts w:ascii="Times New Roman" w:hAnsi="Times New Roman" w:cs="Times New Roman"/>
        </w:rPr>
        <w:lastRenderedPageBreak/>
        <w:t>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w:t>
      </w:r>
      <w:proofErr w:type="spellStart"/>
      <w:r w:rsidR="00066FEC" w:rsidRPr="00994292">
        <w:rPr>
          <w:rFonts w:ascii="Times New Roman" w:hAnsi="Times New Roman" w:cs="Times New Roman"/>
        </w:rPr>
        <w:t>Lakens</w:t>
      </w:r>
      <w:proofErr w:type="spellEnd"/>
      <w:r w:rsidR="00066FEC" w:rsidRPr="00994292">
        <w:rPr>
          <w:rFonts w:ascii="Times New Roman" w:hAnsi="Times New Roman" w:cs="Times New Roman"/>
        </w:rPr>
        <w:t xml:space="preserve">,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w:t>
      </w:r>
      <w:r w:rsidR="002256A1">
        <w:rPr>
          <w:rFonts w:ascii="Times New Roman" w:hAnsi="Times New Roman" w:cs="Times New Roman"/>
        </w:rPr>
        <w:lastRenderedPageBreak/>
        <w:t>model is compared to the previous model to determine how adding random slopes or predictors improves the model</w:t>
      </w:r>
      <w:r w:rsidR="00B12249" w:rsidRPr="00994292">
        <w:rPr>
          <w:rFonts w:ascii="Times New Roman" w:hAnsi="Times New Roman" w:cs="Times New Roman"/>
        </w:rPr>
        <w:t xml:space="preserve">; however, in order to determine the best-fit for our data, we utilized the </w:t>
      </w:r>
      <w:proofErr w:type="spellStart"/>
      <w:r w:rsidR="00B12249" w:rsidRPr="00994292">
        <w:rPr>
          <w:rFonts w:ascii="Times New Roman" w:hAnsi="Times New Roman" w:cs="Times New Roman"/>
        </w:rPr>
        <w:t>Aikake</w:t>
      </w:r>
      <w:proofErr w:type="spellEnd"/>
      <w:r w:rsidR="00B12249" w:rsidRPr="00994292">
        <w:rPr>
          <w:rFonts w:ascii="Times New Roman" w:hAnsi="Times New Roman" w:cs="Times New Roman"/>
        </w:rPr>
        <w:t xml:space="preserv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w:t>
      </w:r>
      <w:proofErr w:type="spellStart"/>
      <w:r w:rsidR="007C2AAB" w:rsidRPr="00994292">
        <w:rPr>
          <w:rFonts w:ascii="Times New Roman" w:hAnsi="Times New Roman" w:cs="Times New Roman"/>
        </w:rPr>
        <w:t>Botwin</w:t>
      </w:r>
      <w:proofErr w:type="spellEnd"/>
      <w:r w:rsidR="007C2AAB" w:rsidRPr="00994292">
        <w:rPr>
          <w:rFonts w:ascii="Times New Roman" w:hAnsi="Times New Roman" w:cs="Times New Roman"/>
        </w:rPr>
        <w:t xml:space="preserve">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 xml:space="preserve">s and </w:t>
      </w:r>
      <w:proofErr w:type="spellStart"/>
      <w:r w:rsidR="00476411" w:rsidRPr="00994292">
        <w:rPr>
          <w:rFonts w:ascii="Times New Roman" w:hAnsi="Times New Roman" w:cs="Times New Roman"/>
        </w:rPr>
        <w:t>Botwin</w:t>
      </w:r>
      <w:proofErr w:type="spellEnd"/>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lastRenderedPageBreak/>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xml:space="preserve">), and usually measure </w:t>
      </w:r>
      <w:proofErr w:type="gramStart"/>
      <w:r w:rsidR="006F1807" w:rsidRPr="00994292">
        <w:rPr>
          <w:rFonts w:ascii="Times New Roman" w:hAnsi="Times New Roman" w:cs="Times New Roman"/>
        </w:rPr>
        <w:t>these variable</w:t>
      </w:r>
      <w:proofErr w:type="gramEnd"/>
      <w:r w:rsidR="006F1807" w:rsidRPr="00994292">
        <w:rPr>
          <w:rFonts w:ascii="Times New Roman" w:hAnsi="Times New Roman" w:cs="Times New Roman"/>
        </w:rPr>
        <w:t xml:space="preserv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w:t>
      </w:r>
      <w:r w:rsidR="00506604" w:rsidRPr="00994292">
        <w:rPr>
          <w:rFonts w:ascii="Times New Roman" w:hAnsi="Times New Roman" w:cs="Times New Roman"/>
        </w:rPr>
        <w:lastRenderedPageBreak/>
        <w:t xml:space="preserve">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proofErr w:type="spellStart"/>
      <w:r w:rsidRPr="00F44919">
        <w:rPr>
          <w:rFonts w:ascii="Times New Roman" w:hAnsi="Times New Roman" w:cs="Times New Roman"/>
          <w:i/>
        </w:rPr>
        <w:t>lsa</w:t>
      </w:r>
      <w:proofErr w:type="spellEnd"/>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lastRenderedPageBreak/>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w:t>
      </w:r>
      <w:proofErr w:type="gramStart"/>
      <w:r w:rsidR="007D0EEF" w:rsidRPr="007D0EEF">
        <w:rPr>
          <w:rFonts w:ascii="Times New Roman" w:hAnsi="Times New Roman" w:cs="Times New Roman"/>
        </w:rPr>
        <w:t>6494.1992.tb</w:t>
      </w:r>
      <w:proofErr w:type="gramEnd"/>
      <w:r w:rsidR="007D0EEF" w:rsidRPr="007D0EEF">
        <w:rPr>
          <w:rFonts w:ascii="Times New Roman" w:hAnsi="Times New Roman" w:cs="Times New Roman"/>
        </w:rPr>
        <w:t>00970.x</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377A1ECD" w14:textId="19A5FEC6"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63114190"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B1443D" w:rsidRPr="00F44919">
        <w:rPr>
          <w:rFonts w:ascii="Times New Roman" w:hAnsi="Times New Roman" w:cs="Times New Roman"/>
          <w:i/>
          <w:color w:val="101010"/>
        </w:rPr>
        <w:t xml:space="preserve"> for Personality </w:t>
      </w:r>
      <w:r w:rsidR="00B20242" w:rsidRPr="00F44919">
        <w:rPr>
          <w:rFonts w:ascii="Times New Roman" w:hAnsi="Times New Roman" w:cs="Times New Roman"/>
          <w:i/>
          <w:color w:val="101010"/>
        </w:rPr>
        <w:t xml:space="preserve">and </w:t>
      </w:r>
      <w:r w:rsidR="00B1443D" w:rsidRPr="00F44919">
        <w:rPr>
          <w:rFonts w:ascii="Times New Roman" w:hAnsi="Times New Roman" w:cs="Times New Roman"/>
          <w:i/>
          <w:color w:val="101010"/>
        </w:rPr>
        <w:t>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F44919">
        <w:trPr>
          <w:trHeight w:val="264"/>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917236">
        <w:trPr>
          <w:trHeight w:val="25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proofErr w:type="spellStart"/>
      <w:r w:rsidR="00480605" w:rsidRPr="0099336C">
        <w:rPr>
          <w:rFonts w:ascii="Times New Roman" w:hAnsi="Times New Roman" w:cs="Times New Roman"/>
          <w:i/>
          <w:color w:val="000000"/>
        </w:rPr>
        <w:t>df</w:t>
      </w:r>
      <w:proofErr w:type="spellEnd"/>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9B78" w14:textId="77777777" w:rsidR="001A311E" w:rsidRDefault="001A311E" w:rsidP="00051DE0">
      <w:r>
        <w:separator/>
      </w:r>
    </w:p>
  </w:endnote>
  <w:endnote w:type="continuationSeparator" w:id="0">
    <w:p w14:paraId="6A336EFE" w14:textId="77777777" w:rsidR="001A311E" w:rsidRDefault="001A311E"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2C46E" w14:textId="77777777" w:rsidR="001A311E" w:rsidRDefault="001A311E" w:rsidP="00051DE0">
      <w:r>
        <w:separator/>
      </w:r>
    </w:p>
  </w:footnote>
  <w:footnote w:type="continuationSeparator" w:id="0">
    <w:p w14:paraId="7ED16C00" w14:textId="77777777" w:rsidR="001A311E" w:rsidRDefault="001A311E"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0C4320">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0C4320">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D0A1B"/>
    <w:rsid w:val="001D21FA"/>
    <w:rsid w:val="001D4F00"/>
    <w:rsid w:val="001D630D"/>
    <w:rsid w:val="001D74DB"/>
    <w:rsid w:val="001E16FD"/>
    <w:rsid w:val="001E7DED"/>
    <w:rsid w:val="001E7FD2"/>
    <w:rsid w:val="001F14F5"/>
    <w:rsid w:val="001F15EE"/>
    <w:rsid w:val="001F1970"/>
    <w:rsid w:val="001F42CB"/>
    <w:rsid w:val="0020576E"/>
    <w:rsid w:val="00207896"/>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32F"/>
    <w:rsid w:val="008C7FE0"/>
    <w:rsid w:val="008E0194"/>
    <w:rsid w:val="008E363E"/>
    <w:rsid w:val="008E6EA3"/>
    <w:rsid w:val="008F6334"/>
    <w:rsid w:val="00900A0E"/>
    <w:rsid w:val="00900E63"/>
    <w:rsid w:val="00904999"/>
    <w:rsid w:val="00904A50"/>
    <w:rsid w:val="00910B5B"/>
    <w:rsid w:val="00913051"/>
    <w:rsid w:val="00914510"/>
    <w:rsid w:val="00914CED"/>
    <w:rsid w:val="00917236"/>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04CA16-19FD-FD4C-A5BB-6C49904C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18</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100</cp:revision>
  <dcterms:created xsi:type="dcterms:W3CDTF">2018-04-16T05:26:00Z</dcterms:created>
  <dcterms:modified xsi:type="dcterms:W3CDTF">2018-05-21T23:18:00Z</dcterms:modified>
</cp:coreProperties>
</file>