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University of Melbourne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Compact"/>
        <w:numPr>
          <w:numId w:val="1001"/>
          <w:ilvl w:val="0"/>
        </w:numPr>
      </w:pPr>
      <w:r>
        <w:t xml:space="preserve">Available feature norms and their format</w:t>
      </w:r>
    </w:p>
    <w:p>
      <w:pPr>
        <w:pStyle w:val="Compact"/>
        <w:numPr>
          <w:numId w:val="1002"/>
          <w:ilvl w:val="0"/>
        </w:numPr>
      </w:pPr>
      <w:r>
        <w:t xml:space="preserve">Property listing task original work:</w:t>
      </w:r>
      <w:r>
        <w:t xml:space="preserve"> </w:t>
      </w:r>
      <w:r>
        <w:t xml:space="preserve">Toglia and Battig (1978)</w:t>
      </w:r>
      <w:r>
        <w:t xml:space="preserve">;</w:t>
      </w:r>
      <w:r>
        <w:t xml:space="preserve"> </w:t>
      </w:r>
      <w:r>
        <w:t xml:space="preserve">Toglia (2009)</w:t>
      </w:r>
      <w:r>
        <w:t xml:space="preserve">;</w:t>
      </w:r>
      <w:r>
        <w:t xml:space="preserve"> </w:t>
      </w:r>
      <w:r>
        <w:t xml:space="preserve">Rosch and Mervis (1975)</w:t>
      </w:r>
      <w:r>
        <w:t xml:space="preserve">;</w:t>
      </w:r>
      <w:r>
        <w:t xml:space="preserve"> </w:t>
      </w:r>
      <w:r>
        <w:t xml:space="preserve">Ashcraft (1978)</w:t>
      </w:r>
    </w:p>
    <w:p>
      <w:pPr>
        <w:pStyle w:val="Compact"/>
        <w:numPr>
          <w:numId w:val="1002"/>
          <w:ilvl w:val="0"/>
        </w:numPr>
      </w:pPr>
      <w:r>
        <w:t xml:space="preserve">English:</w:t>
      </w:r>
      <w:r>
        <w:t xml:space="preserve"> </w:t>
      </w:r>
      <w:r>
        <w:t xml:space="preserve">McRae, Cree, Seidenberg, and McNorgan (2005)</w:t>
      </w:r>
      <w:r>
        <w:t xml:space="preserve">,</w:t>
      </w:r>
      <w:r>
        <w:t xml:space="preserve"> </w:t>
      </w:r>
      <w:r>
        <w:t xml:space="preserve">Vinson and Vigliocco (2008)</w:t>
      </w:r>
      <w:r>
        <w:t xml:space="preserve">,</w:t>
      </w:r>
      <w:r>
        <w:t xml:space="preserve"> </w:t>
      </w:r>
      <w:r>
        <w:t xml:space="preserve">Buchanan, Holmes, Teasley, and Hutchison (2013)</w:t>
      </w:r>
      <w:r>
        <w:t xml:space="preserve">,</w:t>
      </w:r>
      <w:r>
        <w:t xml:space="preserve"> </w:t>
      </w:r>
      <w:r>
        <w:t xml:space="preserve">Devereux, Tyler, Geertzen, and Randall (2014)</w:t>
      </w:r>
      <w:r>
        <w:t xml:space="preserve">,</w:t>
      </w:r>
      <w:r>
        <w:t xml:space="preserve"> </w:t>
      </w:r>
      <w:r>
        <w:t xml:space="preserve">Buchanan, Valentine, and Maxwell (2019)</w:t>
      </w:r>
    </w:p>
    <w:p>
      <w:pPr>
        <w:pStyle w:val="Compact"/>
        <w:numPr>
          <w:numId w:val="1002"/>
          <w:ilvl w:val="0"/>
        </w:numPr>
      </w:pPr>
      <w:r>
        <w:t xml:space="preserve">Italian:</w:t>
      </w:r>
      <w:r>
        <w:t xml:space="preserve"> </w:t>
      </w:r>
      <w:r>
        <w:t xml:space="preserve">Montefinese, Ambrosini, Fairfield, and Mammarella (2013)</w:t>
      </w:r>
      <w:r>
        <w:t xml:space="preserve">;</w:t>
      </w:r>
      <w:r>
        <w:t xml:space="preserve"> </w:t>
      </w:r>
      <w:r>
        <w:t xml:space="preserve">Reverberi, Capitani, and Laiacona (2004)</w:t>
      </w:r>
      <w:r>
        <w:t xml:space="preserve">,</w:t>
      </w:r>
      <w:r>
        <w:t xml:space="preserve"> </w:t>
      </w:r>
      <w:r>
        <w:t xml:space="preserve">Kremer and Baroni (2011)</w:t>
      </w:r>
    </w:p>
    <w:p>
      <w:pPr>
        <w:pStyle w:val="Compact"/>
        <w:numPr>
          <w:numId w:val="1002"/>
          <w:ilvl w:val="0"/>
        </w:numPr>
      </w:pPr>
      <w:r>
        <w:t xml:space="preserve">German:</w:t>
      </w:r>
      <w:r>
        <w:t xml:space="preserve"> </w:t>
      </w:r>
      <w:r>
        <w:t xml:space="preserve">Kremer and Baroni (2011)</w:t>
      </w:r>
    </w:p>
    <w:p>
      <w:pPr>
        <w:pStyle w:val="Compact"/>
        <w:numPr>
          <w:numId w:val="1002"/>
          <w:ilvl w:val="0"/>
        </w:numPr>
      </w:pPr>
      <w:r>
        <w:t xml:space="preserve">Portuguese:</w:t>
      </w:r>
      <w:r>
        <w:t xml:space="preserve"> </w:t>
      </w:r>
      <w:r>
        <w:t xml:space="preserve">Stein and de Azevedo Gomes (2009)</w:t>
      </w:r>
    </w:p>
    <w:p>
      <w:pPr>
        <w:pStyle w:val="Compact"/>
        <w:numPr>
          <w:numId w:val="1002"/>
          <w:ilvl w:val="0"/>
        </w:numPr>
      </w:pPr>
      <w:r>
        <w:t xml:space="preserve">Spanish:</w:t>
      </w:r>
      <w:r>
        <w:t xml:space="preserve"> </w:t>
      </w:r>
      <w:r>
        <w:t xml:space="preserve">Vivas, Vivas, Comesaña, Coni, and Vorano (2017)</w:t>
      </w:r>
    </w:p>
    <w:p>
      <w:pPr>
        <w:pStyle w:val="Compact"/>
        <w:numPr>
          <w:numId w:val="1002"/>
          <w:ilvl w:val="0"/>
        </w:numPr>
      </w:pPr>
      <w:r>
        <w:t xml:space="preserve">Dutch:</w:t>
      </w:r>
      <w:r>
        <w:t xml:space="preserve"> </w:t>
      </w:r>
      <w:r>
        <w:t xml:space="preserve">Ruts et al. (2004)</w:t>
      </w:r>
    </w:p>
    <w:p>
      <w:pPr>
        <w:pStyle w:val="Compact"/>
        <w:numPr>
          <w:numId w:val="1002"/>
          <w:ilvl w:val="0"/>
        </w:numPr>
      </w:pPr>
      <w:r>
        <w:t xml:space="preserve">Blind participants:</w:t>
      </w:r>
      <w:r>
        <w:t xml:space="preserve"> </w:t>
      </w:r>
      <w:r>
        <w:t xml:space="preserve">Lenci, Baroni, Cazzolli, and Marotta (2013)</w:t>
      </w:r>
    </w:p>
    <w:p>
      <w:pPr>
        <w:pStyle w:val="FirstParagraph"/>
      </w:pPr>
      <w:r>
        <w:t xml:space="preserve">I’m sure there are more, here’s what we cited recently.</w:t>
      </w:r>
    </w:p>
    <w:p>
      <w:pPr>
        <w:pStyle w:val="Textkrper"/>
      </w:pPr>
      <w:r>
        <w:t xml:space="preserve">Define concept, feature for clarity throughout - make sure you use these two terms consistently.</w:t>
      </w:r>
    </w:p>
    <w:p>
      <w:pPr>
        <w:pStyle w:val="Compact"/>
        <w:numPr>
          <w:numId w:val="1003"/>
          <w:ilvl w:val="0"/>
        </w:numPr>
      </w:pPr>
      <w:r>
        <w:t xml:space="preserve">Pointers about how to collect the data</w:t>
      </w:r>
    </w:p>
    <w:p>
      <w:pPr>
        <w:pStyle w:val="Compact"/>
        <w:numPr>
          <w:numId w:val="1004"/>
          <w:ilvl w:val="0"/>
        </w:numPr>
      </w:pPr>
      <w:r>
        <w:t xml:space="preserve">instructions, generation, verification, importance</w:t>
      </w:r>
    </w:p>
    <w:p>
      <w:pPr>
        <w:pStyle w:val="FirstParagraph"/>
      </w:pPr>
      <w:r>
        <w:t xml:space="preserve">I really like the way the CSLB did it:</w:t>
      </w:r>
      <w:r>
        <w:t xml:space="preserve"> </w:t>
      </w:r>
      <w:hyperlink r:id="rId22">
        <w:r>
          <w:rPr>
            <w:rStyle w:val="Hyperlink"/>
          </w:rPr>
          <w:t xml:space="preserve">https://cslb.psychol.cam.ac.uk/propnorms</w:t>
        </w:r>
      </w:hyperlink>
    </w:p>
    <w:p>
      <w:pPr>
        <w:pStyle w:val="Textkrper"/>
      </w:pPr>
      <w:r>
        <w:t xml:space="preserve">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t>
      </w:r>
    </w:p>
    <w:p>
      <w:pPr>
        <w:pStyle w:val="Compact"/>
        <w:numPr>
          <w:numId w:val="1005"/>
          <w:ilvl w:val="0"/>
        </w:numPr>
      </w:pPr>
      <w:r>
        <w:t xml:space="preserve">Typical operations performed on features</w:t>
      </w:r>
    </w:p>
    <w:p>
      <w:pPr>
        <w:pStyle w:val="CaptionedFigure"/>
      </w:pPr>
      <w:r>
        <w:drawing>
          <wp:inline>
            <wp:extent cx="5969000" cy="2072569"/>
            <wp:effectExtent b="0" l="0" r="0" t="0"/>
            <wp:docPr descr="Figure 1: Flow chart of proposed semantic processing feature steps."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072569"/>
                    </a:xfrm>
                    <a:prstGeom prst="rect">
                      <a:avLst/>
                    </a:prstGeom>
                    <a:noFill/>
                    <a:ln w="9525">
                      <a:noFill/>
                      <a:headEnd/>
                      <a:tailEnd/>
                    </a:ln>
                  </pic:spPr>
                </pic:pic>
              </a:graphicData>
            </a:graphic>
          </wp:inline>
        </w:drawing>
      </w:r>
    </w:p>
    <w:p>
      <w:pPr>
        <w:pStyle w:val="ImageCaption"/>
      </w:pPr>
      <w:r>
        <w:t xml:space="preserve">Figure 1: Flow chart of proposed semantic processing feature steps.</w:t>
      </w:r>
    </w:p>
    <w:p>
      <w:pPr>
        <w:pStyle w:val="Textkrper"/>
      </w:pPr>
      <w:r>
        <w:t xml:space="preserve">In the next several sections, we provide a tutorial using</w:t>
      </w:r>
      <w:r>
        <w:t xml:space="preserve"> </w:t>
      </w:r>
      <w:r>
        <w:rPr>
          <w:i/>
        </w:rPr>
        <w:t xml:space="preserve">R</w:t>
      </w:r>
      <w:r>
        <w:t xml:space="preserve"> </w:t>
      </w:r>
      <w:r>
        <w:t xml:space="preserve">on how data from the semantic property norm task might be processed from raw input to finalized output.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berschrift2"/>
      </w:pPr>
      <w:bookmarkStart w:id="24" w:name="materials-and-data-format"/>
      <w:r>
        <w:t xml:space="preserve">Materials and Data Format</w:t>
      </w:r>
      <w:bookmarkEnd w:id="24"/>
    </w:p>
    <w:p>
      <w:pPr>
        <w:pStyle w:val="FirstParagraph"/>
      </w:pPr>
      <w:r>
        <w:t xml:space="preserve">The data for this tutorial includes 16544 unique concept-feature responses for 226 concepts from</w:t>
      </w:r>
      <w:r>
        <w:t xml:space="preserve"> </w:t>
      </w:r>
      <w:r>
        <w:t xml:space="preserve">Buchanan et al. (2019)</w:t>
      </w:r>
      <w:r>
        <w:t xml:space="preserve"> </w:t>
      </w:r>
      <w:r>
        <w:t xml:space="preserve">that were included in</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data should be structured in tidy format wherein each concept-feature observation is a row and each column is a variable</w:t>
      </w:r>
      <w:r>
        <w:t xml:space="preserve"> </w:t>
      </w:r>
      <w:r>
        <w:t xml:space="preserve">(Wickham, 2014)</w:t>
      </w:r>
      <w:r>
        <w:t xml:space="preserve">. Therefore, the data includes a</w:t>
      </w:r>
      <w:r>
        <w:t xml:space="preserve"> </w:t>
      </w:r>
      <w:r>
        <w:rPr>
          <w:rStyle w:val="VerbatimChar"/>
        </w:rPr>
        <w:t xml:space="preserve">word</w:t>
      </w:r>
      <w:r>
        <w:t xml:space="preserve"> </w:t>
      </w:r>
      <w:r>
        <w:t xml:space="preserve">column with the normed concept and an</w:t>
      </w:r>
      <w:r>
        <w:t xml:space="preserve"> </w:t>
      </w:r>
      <w:r>
        <w:rPr>
          <w:rStyle w:val="VerbatimChar"/>
        </w:rPr>
        <w:t xml:space="preserve">answer</w:t>
      </w:r>
      <w:r>
        <w:t xml:space="preserve"> </w:t>
      </w:r>
      <w:r>
        <w:t xml:space="preserve">column with the participant answer, as shown in Table</w:t>
      </w:r>
      <w:r>
        <w:t xml:space="preserve"> </w:t>
      </w:r>
      <w:r>
        <w:t xml:space="preserve">??</w:t>
      </w:r>
      <w:r>
        <w:t xml:space="preserve">.</w:t>
      </w:r>
    </w:p>
    <w:p>
      <w:pPr>
        <w:pStyle w:val="Textkrper"/>
      </w:pPr>
      <w:r>
        <w:t xml:space="preserve">This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p>
    <w:p>
      <w:pPr>
        <w:pStyle w:val="berschrift2"/>
      </w:pPr>
      <w:bookmarkStart w:id="25" w:name="spelling"/>
      <w:r>
        <w:t xml:space="preserve">Spelling</w:t>
      </w:r>
      <w:bookmarkEnd w:id="25"/>
    </w:p>
    <w:p>
      <w:pPr>
        <w:pStyle w:val="FirstParagraph"/>
      </w:pPr>
      <w:r>
        <w:t xml:space="preserve">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which is the spell checking library used in popular programs such as FireFox, Chrome, RStudio, and OpenOffice. Each</w:t>
      </w:r>
      <w:r>
        <w:t xml:space="preserve"> </w:t>
      </w:r>
      <w:r>
        <w:rPr>
          <w:rStyle w:val="VerbatimChar"/>
        </w:rPr>
        <w:t xml:space="preserve">answer</w:t>
      </w:r>
      <w:r>
        <w:t xml:space="preserve"> </w:t>
      </w:r>
      <w:r>
        <w:t xml:space="preserve">can be checked for misspellings across an entire column of answers, which is located in the</w:t>
      </w:r>
      <w:r>
        <w:t xml:space="preserve"> </w:t>
      </w:r>
      <w:r>
        <w:rPr>
          <w:rStyle w:val="VerbatimChar"/>
        </w:rPr>
        <w:t xml:space="preserve">master</w:t>
      </w:r>
      <w:r>
        <w:t xml:space="preserve"> </w:t>
      </w:r>
      <w:r>
        <w:t xml:space="preserve">dataset. The default dictionary is American English, and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Lower case to normalize</w:t>
      </w:r>
      <w:r>
        <w:br w:type="textWrapping"/>
      </w:r>
      <w:r>
        <w:rPr>
          <w:rStyle w:val="NormalTok"/>
        </w:rPr>
        <w:t xml:space="preserve">master</w:t>
      </w:r>
      <w:r>
        <w:rPr>
          <w:rStyle w:val="OperatorTok"/>
        </w:rPr>
        <w:t xml:space="preserve">$</w:t>
      </w:r>
      <w:r>
        <w:rPr>
          <w:rStyle w:val="NormalTok"/>
        </w:rPr>
        <w:t xml:space="preserve">answer &lt;-</w:t>
      </w:r>
      <w:r>
        <w:rPr>
          <w:rStyle w:val="StringTok"/>
        </w:rPr>
        <w:t xml:space="preserve"> </w:t>
      </w:r>
      <w:r>
        <w:rPr>
          <w:rStyle w:val="KeywordTok"/>
        </w:rPr>
        <w:t xml:space="preserve">tolower</w:t>
      </w:r>
      <w:r>
        <w:rPr>
          <w:rStyle w:val="NormalTok"/>
        </w:rPr>
        <w:t xml:space="preserve">(master</w:t>
      </w:r>
      <w:r>
        <w:rPr>
          <w:rStyle w:val="OperatorTok"/>
        </w:rPr>
        <w:t xml:space="preserve">$</w:t>
      </w:r>
      <w:r>
        <w:rPr>
          <w:rStyle w:val="NormalTok"/>
        </w:rPr>
        <w:t xml:space="preserve">answer)</w:t>
      </w:r>
      <w:r>
        <w:br w:type="textWrapping"/>
      </w: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6" w:name="lemmatization"/>
      <w:r>
        <w:t xml:space="preserve">Lemmatization</w:t>
      </w:r>
      <w:bookmarkEnd w:id="26"/>
    </w:p>
    <w:p>
      <w:pPr>
        <w:pStyle w:val="FirstParagraph"/>
      </w:pPr>
      <w:r>
        <w:t xml:space="preserve">The next step approaches the clustering of word forms into their lemma or head word from a dictionary.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 Several packages for</w:t>
      </w:r>
      <w:r>
        <w:t xml:space="preserve"> </w:t>
      </w:r>
      <w:r>
        <w:rPr>
          <w:i/>
        </w:rPr>
        <w:t xml:space="preserve">R</w:t>
      </w:r>
      <w:r>
        <w:t xml:space="preserve"> </w:t>
      </w:r>
      <w:r>
        <w:t xml:space="preserve">include customizable stemmers, notably the</w:t>
      </w:r>
      <w:r>
        <w:t xml:space="preserve"> </w:t>
      </w:r>
      <w:r>
        <w:rPr>
          <w:rStyle w:val="VerbatimChar"/>
        </w:rPr>
        <w:t xml:space="preserve">hunspell</w:t>
      </w:r>
      <w:r>
        <w:t xml:space="preserve">,</w:t>
      </w:r>
      <w:r>
        <w:t xml:space="preserve"> </w:t>
      </w:r>
      <w:r>
        <w:rPr>
          <w:rStyle w:val="VerbatimChar"/>
        </w:rPr>
        <w:t xml:space="preserve">corpus</w:t>
      </w:r>
      <w:r>
        <w:t xml:space="preserve"> </w:t>
      </w:r>
      <w:r>
        <w:t xml:space="preserve">(Perry, 2017)</w:t>
      </w:r>
      <w:r>
        <w:t xml:space="preserve">, and</w:t>
      </w:r>
      <w:r>
        <w:t xml:space="preserve"> </w:t>
      </w:r>
      <w:r>
        <w:rPr>
          <w:rStyle w:val="VerbatimChar"/>
        </w:rPr>
        <w:t xml:space="preserve">tm</w:t>
      </w:r>
      <w:r>
        <w:t xml:space="preserve"> </w:t>
      </w:r>
      <w:r>
        <w:t xml:space="preserve">(Feinerer, Hornik, &amp; Artifex Software, 2018)</w:t>
      </w:r>
      <w:r>
        <w:t xml:space="preserve"> </w:t>
      </w:r>
      <w:r>
        <w:t xml:space="preserve">packages.</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example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subsetting out these from the dataset. Table</w:t>
      </w:r>
      <w:r>
        <w:t xml:space="preserve"> </w:t>
      </w:r>
      <w:r>
        <w:t xml:space="preserve">??</w:t>
      </w:r>
      <w:r>
        <w:t xml:space="preserve"> </w:t>
      </w:r>
      <w:r>
        <w:t xml:space="preserve">portrays the results from TreeTagger.</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Textkrper"/>
      </w:pPr>
      <w:r>
        <w:t xml:space="preserve">From this dataset, you can use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w:t>
      </w:r>
      <w:r>
        <w:t xml:space="preserve">to replace all of the original tokens with their lemmas. This package allows for replacement look-up across a large set of substitutions. The</w:t>
      </w:r>
      <w:r>
        <w:t xml:space="preserve"> </w:t>
      </w:r>
      <w:r>
        <w:rPr>
          <w:rStyle w:val="VerbatimChar"/>
        </w:rPr>
        <w:t xml:space="preserve">stri_replace_all_regex()</w:t>
      </w:r>
      <w:r>
        <w:t xml:space="preserve"> </w:t>
      </w:r>
      <w:r>
        <w:t xml:space="preserve">function includes the column of data to examine, the patterns to find (using</w:t>
      </w:r>
      <w:r>
        <w:t xml:space="preserve"> </w:t>
      </w:r>
      <w:r>
        <w:rPr>
          <w:rStyle w:val="VerbatimChar"/>
        </w:rPr>
        <w:t xml:space="preserve">\\b</w:t>
      </w:r>
      <w:r>
        <w:t xml:space="preserve"> </w:t>
      </w:r>
      <w:r>
        <w:t xml:space="preserve">regular expressions to ensure word boundaries and no partial word replacements), what to replace those patterns with, and other options to ensure the original dataframe with replacement is returned. Table</w:t>
      </w:r>
      <w:r>
        <w:t xml:space="preserve"> </w:t>
      </w:r>
      <w:r>
        <w:t xml:space="preserve">??</w:t>
      </w:r>
      <w:r>
        <w:t xml:space="preserve"> </w:t>
      </w:r>
      <w:r>
        <w:t xml:space="preserve">shows the processed data at this stage.</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berschrift2"/>
      </w:pPr>
      <w:bookmarkStart w:id="27" w:name="word-sequences"/>
      <w:r>
        <w:t xml:space="preserve">Word Sequences</w:t>
      </w:r>
      <w:bookmarkEnd w:id="27"/>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CommentTok"/>
        </w:rPr>
        <w:t xml:space="preserve">## Create an empty dataframe </w:t>
      </w:r>
      <w:r>
        <w:br w:type="textWrapping"/>
      </w: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Create unique word list to loop over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verb noun or verb adjective nouns to cluster on </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produces mostly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 as shown in Table</w:t>
      </w:r>
      <w:r>
        <w:t xml:space="preserve"> </w:t>
      </w:r>
      <w:r>
        <w:t xml:space="preserve">??</w:t>
      </w:r>
      <w:r>
        <w:t xml:space="preserve">.</w:t>
      </w:r>
    </w:p>
    <w:p>
      <w:pPr>
        <w:pStyle w:val="berschrift2"/>
      </w:pPr>
      <w:bookmarkStart w:id="28" w:name="bag-of-words"/>
      <w:r>
        <w:t xml:space="preserve">Bag of Words</w:t>
      </w:r>
      <w:bookmarkEnd w:id="28"/>
    </w:p>
    <w:p>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SourceCode"/>
      </w:pPr>
      <w:r>
        <w:rPr>
          <w:rStyle w:val="CommentTok"/>
        </w:rPr>
        <w:t xml:space="preserve">## Create an empty dataframe </w:t>
      </w:r>
      <w:r>
        <w:br w:type="textWrapping"/>
      </w:r>
      <w:r>
        <w:rPr>
          <w:rStyle w:val="NormalTok"/>
        </w:rPr>
        <w:t xml:space="preserve">bag_words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w:t>
      </w:r>
      <w:r>
        <w:br w:type="textWrapping"/>
      </w:r>
      <w:r>
        <w:rPr>
          <w:rStyle w:val="NormalTok"/>
        </w:rPr>
        <w:t xml:space="preserve">    </w:t>
      </w:r>
      <w:r>
        <w:rPr>
          <w:rStyle w:val="CommentTok"/>
        </w:rPr>
        <w:t xml:space="preserve">## Tokenize the words</w:t>
      </w:r>
      <w:r>
        <w:br w:type="textWrapping"/>
      </w:r>
      <w:r>
        <w:rPr>
          <w:rStyle w:val="NormalTok"/>
        </w:rPr>
        <w:t xml:space="preserve">    </w:t>
      </w:r>
      <w:r>
        <w:rPr>
          <w:rStyle w:val="KeywordTok"/>
        </w:rPr>
        <w:t xml:space="preserve">tokenize</w:t>
      </w:r>
      <w:r>
        <w:rPr>
          <w:rStyle w:val="NormalTok"/>
        </w:rPr>
        <w:t xml:space="preserve">(</w:t>
      </w:r>
      <w:r>
        <w:br w:type="textWrapping"/>
      </w:r>
      <w:r>
        <w:rPr>
          <w:rStyle w:val="NormalTok"/>
        </w:rPr>
        <w:t xml:space="preserve">      </w:t>
      </w:r>
      <w:r>
        <w:rPr>
          <w:rStyle w:val="CommentTok"/>
        </w:rPr>
        <w:t xml:space="preserve">## Put all answers together in one character string</w:t>
      </w:r>
      <w:r>
        <w:br w:type="textWrapping"/>
      </w:r>
      <w:r>
        <w:rPr>
          <w:rStyle w:val="NormalTok"/>
        </w:rPr>
        <w:t xml:space="preserve">      </w:t>
      </w:r>
      <w:r>
        <w:rPr>
          <w:rStyle w:val="KeywordTok"/>
        </w:rPr>
        <w:t xml:space="preserve">paste0</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DataTypeTok"/>
        </w:rPr>
        <w:t xml:space="preserve">collapse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  </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w:t>
      </w:r>
      <w:r>
        <w:br w:type="textWrapping"/>
      </w:r>
      <w:r>
        <w:rPr>
          <w:rStyle w:val="NormalTok"/>
        </w:rPr>
        <w:t xml:space="preserve">  bag_words &lt;-</w:t>
      </w:r>
      <w:r>
        <w:rPr>
          <w:rStyle w:val="StringTok"/>
        </w:rPr>
        <w:t xml:space="preserve"> </w:t>
      </w:r>
      <w:r>
        <w:rPr>
          <w:rStyle w:val="KeywordTok"/>
        </w:rPr>
        <w:t xml:space="preserve">rbind</w:t>
      </w:r>
      <w:r>
        <w:rPr>
          <w:rStyle w:val="NormalTok"/>
        </w:rPr>
        <w:t xml:space="preserve">(bag_words,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Remove punctuation</w:t>
      </w:r>
      <w:r>
        <w:br w:type="textWrapping"/>
      </w:r>
      <w:r>
        <w:rPr>
          <w:rStyle w:val="NormalTok"/>
        </w:rPr>
        <w:t xml:space="preserve">bag_words &lt;-</w:t>
      </w:r>
      <w:r>
        <w:rPr>
          <w:rStyle w:val="StringTok"/>
        </w:rPr>
        <w:t xml:space="preserve"> </w:t>
      </w:r>
      <w:r>
        <w:rPr>
          <w:rStyle w:val="NormalTok"/>
        </w:rPr>
        <w:t xml:space="preserve">bag_words[</w:t>
      </w:r>
      <w:r>
        <w:rPr>
          <w:rStyle w:val="OperatorTok"/>
        </w:rPr>
        <w:t xml:space="preserve">-</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'^[[:punct:]]'</w:t>
      </w:r>
      <w:r>
        <w:rPr>
          <w:rStyle w:val="NormalTok"/>
        </w:rPr>
        <w:t xml:space="preserve">,bag_words</w:t>
      </w:r>
      <w:r>
        <w:rPr>
          <w:rStyle w:val="OperatorTok"/>
        </w:rPr>
        <w:t xml:space="preserve">$</w:t>
      </w:r>
      <w:r>
        <w:rPr>
          <w:rStyle w:val="NormalTok"/>
        </w:rPr>
        <w:t xml:space="preserve">Feature)), ]</w:t>
      </w:r>
    </w:p>
    <w:p>
      <w:pPr>
        <w:pStyle w:val="FirstParagraph"/>
      </w:pPr>
    </w:p>
    <w:p>
      <w:pPr>
        <w:pStyle w:val="Textkrper"/>
      </w:pPr>
      <w:r>
        <w:t xml:space="preserve">Tab</w:t>
      </w:r>
      <w:r>
        <w:t xml:space="preserve"> </w:t>
      </w:r>
      <w:r>
        <w:t xml:space="preserve">??</w:t>
      </w:r>
      <w:r>
        <w:t xml:space="preserve"> </w:t>
      </w:r>
      <w:r>
        <w:t xml:space="preserve">shows the top ten most frequent responses to</w:t>
      </w:r>
      <w:r>
        <w:t xml:space="preserve"> </w:t>
      </w:r>
      <w:r>
        <w:rPr>
          <w:i/>
        </w:rPr>
        <w:t xml:space="preserve">zebra</w:t>
      </w:r>
      <w:r>
        <w:t xml:space="preserve"> </w:t>
      </w:r>
      <w:r>
        <w:t xml:space="preserve">given the bag of words approach. The top ten features in zebra indicate a match to the multi-word sequence approach but the inclusion of words such as</w:t>
      </w:r>
      <w:r>
        <w:t xml:space="preserve"> </w:t>
      </w:r>
      <w:r>
        <w:rPr>
          <w:i/>
        </w:rPr>
        <w:t xml:space="preserve">be, in, a</w:t>
      </w:r>
      <w:r>
        <w:t xml:space="preserve"> </w:t>
      </w:r>
      <w:r>
        <w:t xml:space="preserve">indicate the need to remove irrelevant words listed with features.</w:t>
      </w:r>
    </w:p>
    <w:p>
      <w:pPr>
        <w:pStyle w:val="berschrift2"/>
      </w:pPr>
      <w:bookmarkStart w:id="29" w:name="stopwords"/>
      <w:r>
        <w:t xml:space="preserve">Stopwords</w:t>
      </w:r>
      <w:bookmarkEnd w:id="29"/>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for either the multi-word sequence or bag of word style processing.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For multi-word sequence processing, these values can be removed by subsetting the data to exclude stopwords as unigrams.</w:t>
      </w:r>
    </w:p>
    <w:p>
      <w:pPr>
        <w:pStyle w:val="SourceCode"/>
      </w:pPr>
      <w:r>
        <w:rPr>
          <w:rStyle w:val="CommentTok"/>
        </w:rPr>
        <w:t xml:space="preserve">## Install the stopwords package or use tm</w:t>
      </w:r>
      <w:r>
        <w:br w:type="textWrapping"/>
      </w:r>
      <w:r>
        <w:rPr>
          <w:rStyle w:val="CommentTok"/>
        </w:rPr>
        <w:t xml:space="preserve">#install.packages("stopwords")</w:t>
      </w:r>
      <w:r>
        <w:br w:type="textWrapping"/>
      </w:r>
      <w:r>
        <w:rPr>
          <w:rStyle w:val="KeywordTok"/>
        </w:rPr>
        <w:t xml:space="preserve">library</w:t>
      </w:r>
      <w:r>
        <w:rPr>
          <w:rStyle w:val="NormalTok"/>
        </w:rPr>
        <w:t xml:space="preserve">(stopwords)</w:t>
      </w:r>
      <w:r>
        <w:br w:type="textWrapping"/>
      </w:r>
      <w:r>
        <w:rPr>
          <w:rStyle w:val="CommentTok"/>
        </w:rPr>
        <w:t xml:space="preserve">## Remove stop words from either processing approach</w:t>
      </w:r>
      <w:r>
        <w:br w:type="textWrapping"/>
      </w:r>
      <w:r>
        <w:rPr>
          <w:rStyle w:val="NormalTok"/>
        </w:rPr>
        <w:t xml:space="preserve">multi_words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type="textWrapping"/>
      </w:r>
      <w:r>
        <w:rPr>
          <w:rStyle w:val="NormalTok"/>
        </w:rPr>
        <w:t xml:space="preserve">bag_words &lt;-</w:t>
      </w:r>
      <w:r>
        <w:rPr>
          <w:rStyle w:val="StringTok"/>
        </w:rPr>
        <w:t xml:space="preserve"> </w:t>
      </w:r>
      <w:r>
        <w:rPr>
          <w:rStyle w:val="KeywordTok"/>
        </w:rPr>
        <w:t xml:space="preserve">subset</w:t>
      </w:r>
      <w:r>
        <w:rPr>
          <w:rStyle w:val="NormalTok"/>
        </w:rPr>
        <w:t xml:space="preserve">(bag_words,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30" w:name="descriptive-statistics"/>
      <w:r>
        <w:t xml:space="preserve">Descriptive Statistics</w:t>
      </w:r>
      <w:bookmarkEnd w:id="30"/>
    </w:p>
    <w:p>
      <w:pPr>
        <w:pStyle w:val="FirstParagraph"/>
      </w:pPr>
      <w:r>
        <w:t xml:space="preserve">The finalized data now represents a a processed set of cue-feature combinations with their frequencies for analysis. Given the differences in sample size across data collection points from</w:t>
      </w:r>
      <w:r>
        <w:t xml:space="preserve"> </w:t>
      </w:r>
      <w:r>
        <w:t xml:space="preserve">Buchanan et al. (2019)</w:t>
      </w:r>
      <w:r>
        <w:t xml:space="preserve">, this information was merged with the sample data. Table</w:t>
      </w:r>
      <w:r>
        <w:t xml:space="preserve"> </w:t>
      </w:r>
      <w:r>
        <w:t xml:space="preserve">??</w:t>
      </w:r>
      <w:r>
        <w:t xml:space="preserve"> </w:t>
      </w:r>
      <w:r>
        <w:t xml:space="preserve">includes descriptive statistics for the processed cue-feature set. First, the number of cue-feature combinations was calculated by taking the average number of cue-feature listings for each cue. Therefore, the total number of features listed for</w:t>
      </w:r>
      <w:r>
        <w:t xml:space="preserve"> </w:t>
      </w:r>
      <w:r>
        <w:rPr>
          <w:i/>
        </w:rPr>
        <w:t xml:space="preserve">zebra</w:t>
      </w:r>
      <w:r>
        <w:t xml:space="preserve"> </w:t>
      </w:r>
      <w:r>
        <w:t xml:space="preserve">might be 100, while</w:t>
      </w:r>
      <w:r>
        <w:t xml:space="preserve"> </w:t>
      </w:r>
      <w:r>
        <w:rPr>
          <w:i/>
        </w:rPr>
        <w:t xml:space="preserve">apple</w:t>
      </w:r>
      <w:r>
        <w:t xml:space="preserve"> </w:t>
      </w:r>
      <w:r>
        <w:t xml:space="preserve">might be 45, and these values were averaged.</w:t>
      </w:r>
    </w:p>
    <w:p>
      <w:pPr>
        <w:pStyle w:val="Textkrper"/>
      </w:pPr>
      <w:r>
        <w:t xml:space="preserve">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The correlation provided represents the relation between sample size for a cue and the number of features listed for that cue. These values are high and positive, indicating that the number of unique features increases with each participant. 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The average number of cue-features that would be considered low in proportion is quite large,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Textkrper"/>
      </w:pPr>
      <w:r>
        <w:t xml:space="preserve">The next two lines of Table</w:t>
      </w:r>
      <w:r>
        <w:t xml:space="preserve"> </w:t>
      </w:r>
      <w:r>
        <w:t xml:space="preserve">??</w:t>
      </w:r>
      <w:r>
        <w:t xml:space="preserve"> </w:t>
      </w:r>
      <w:r>
        <w:t xml:space="preserve">indicate cue-feature combination frequencies, such as the number of times</w:t>
      </w:r>
      <w:r>
        <w:t xml:space="preserve"> </w:t>
      </w:r>
      <w:r>
        <w:rPr>
          <w:i/>
        </w:rPr>
        <w:t xml:space="preserve">zebra-stripes</w:t>
      </w:r>
      <w:r>
        <w:t xml:space="preserve"> </w:t>
      </w:r>
      <w:r>
        <w:t xml:space="preserve">or</w:t>
      </w:r>
      <w:r>
        <w:t xml:space="preserve"> </w:t>
      </w:r>
      <w:r>
        <w:rPr>
          <w:i/>
        </w:rPr>
        <w:t xml:space="preserve">apple-red</w:t>
      </w:r>
      <w:r>
        <w:t xml:space="preserve"> </w:t>
      </w:r>
      <w:r>
        <w:t xml:space="preserve">were listed by participants. The percent of responses is the frequency divided by sample size for each cue, to normalize over different sample sizes present in the data. These average frequency/percent was calculated for each cue, and then averaged over all cues. The correlation represents the average frequency/percent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percent of response and sample size is negative, suggesting that larger sample sizes are often paired with more items with smaller percent likelihoods. Figure</w:t>
      </w:r>
      <w:r>
        <w:t xml:space="preserve"> </w:t>
      </w:r>
      <w:r>
        <w:t xml:space="preserve">2</w:t>
      </w:r>
      <w:r>
        <w:t xml:space="preserve"> </w:t>
      </w:r>
      <w:r>
        <w:t xml:space="preserve">displays the correlations for the average cue-frequency responses and the percent cue-frequency responses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or percen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3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or percent.</w:t>
      </w:r>
    </w:p>
    <w:p>
      <w:pPr>
        <w:pStyle w:val="berschrift2"/>
      </w:pPr>
      <w:bookmarkStart w:id="32" w:name="internal-comparison-of-approach"/>
      <w:r>
        <w:t xml:space="preserve">Internal Comparison of Approach</w:t>
      </w:r>
      <w:bookmarkEnd w:id="32"/>
    </w:p>
    <w:p>
      <w:pPr>
        <w:pStyle w:val="FirstParagraph"/>
      </w:pPr>
      <w:r>
        <w:t xml:space="preserve">In this section, we show that the bag of words approach processed completely through code matches a bag of words approach that was hand coded from</w:t>
      </w:r>
      <w:r>
        <w:t xml:space="preserve"> </w:t>
      </w:r>
      <w:r>
        <w:t xml:space="preserve">Buchanan et al. (2019)</w:t>
      </w:r>
      <w:r>
        <w:t xml:space="preserve">. In</w:t>
      </w:r>
      <w:r>
        <w:t xml:space="preserve"> </w:t>
      </w:r>
      <w:r>
        <w:t xml:space="preserve">Buchanan et al. (2019)</w:t>
      </w:r>
      <w:r>
        <w:t xml:space="preserve">, the</w:t>
      </w:r>
      <w:r>
        <w:t xml:space="preserve"> </w:t>
      </w:r>
      <w:r>
        <w:t xml:space="preserve">McRae et al. (2005)</w:t>
      </w:r>
      <w:r>
        <w:t xml:space="preserve"> </w:t>
      </w:r>
      <w:r>
        <w:t xml:space="preserve">and</w:t>
      </w:r>
      <w:r>
        <w:t xml:space="preserve"> </w:t>
      </w:r>
      <w:r>
        <w:t xml:space="preserve">Vinson and Vigliocco (2008)</w:t>
      </w:r>
      <w:r>
        <w:t xml:space="preserve"> </w:t>
      </w:r>
      <w:r>
        <w:t xml:space="preserve">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is often used as a measure of semantic similarity, indicating the feature overlap between two sets of cue-feature lists. These values can range from 0 (no overlap) to 1 (perfect overlap). There are two potential cosine values from the</w:t>
      </w:r>
      <w:r>
        <w:t xml:space="preserve"> </w:t>
      </w:r>
      <w:r>
        <w:t xml:space="preserve">Buchanan et al. (2019)</w:t>
      </w:r>
      <w:r>
        <w:t xml:space="preserve">: the raw cosine, which included all features as listed without lemmatization or stemming, and the translated cosine, which included hand lemmatization processing. Each cue in the sample data for this project was compared to the corresponding cue in the</w:t>
      </w:r>
      <w:r>
        <w:t xml:space="preserve"> </w:t>
      </w:r>
      <w:r>
        <w:t xml:space="preserve">Buchanan et al. (2019)</w:t>
      </w:r>
      <w:r>
        <w:t xml:space="preserve">. If data were processed in an identical fashion, the cosine values would be nearly 1 for</w:t>
      </w:r>
      <w:r>
        <w:t xml:space="preserve"> </w:t>
      </w:r>
      <w:r>
        <w:t xml:space="preserve">Buchanan et al. (2019)</w:t>
      </w:r>
      <w:r>
        <w:t xml:space="preserve"> </w:t>
      </w:r>
      <w:r>
        <w:t xml:space="preserve">data or match the cosine values found for</w:t>
      </w:r>
      <w:r>
        <w:t xml:space="preserve"> </w:t>
      </w:r>
      <w:r>
        <w:t xml:space="preserve">McRae et al. (2005)</w:t>
      </w:r>
      <w:r>
        <w:t xml:space="preserve"> </w:t>
      </w:r>
      <w:r>
        <w:t xml:space="preserve">and</w:t>
      </w:r>
      <w:r>
        <w:t xml:space="preserve"> </w:t>
      </w:r>
      <w:r>
        <w:t xml:space="preserve">Vinson and Vigliocco (2008)</w:t>
      </w:r>
      <w:r>
        <w:t xml:space="preserve"> </w:t>
      </w:r>
      <w:r>
        <w:t xml:space="preserve">in the</w:t>
      </w:r>
      <w:r>
        <w:t xml:space="preserve"> </w:t>
      </w:r>
      <w:r>
        <w:t xml:space="preserve">Buchanan et al. (2019)</w:t>
      </w:r>
      <w:r>
        <w:t xml:space="preserve"> </w:t>
      </w:r>
      <w:r>
        <w:t xml:space="preserve">results (original feature cosine = .54-.55, translated features = .66-.67). However, all previous datasets have been reduced by eliminating idiosyncratic features at various points, and therefore, we might expect that noise in this data to reduce the average cosine values. The cosine matches for original features averaged:</w:t>
      </w:r>
      <w:r>
        <w:t xml:space="preserve"> </w:t>
      </w:r>
      <m:oMath>
        <m:sSub>
          <m:e>
            <m:r>
              <m:t>M</m:t>
            </m:r>
          </m:e>
          <m:sub>
            <m:r>
              <m:t>B</m:t>
            </m:r>
          </m:sub>
        </m:sSub>
      </m:oMath>
      <w:r>
        <w:t xml:space="preserve"> </w:t>
      </w:r>
      <w:r>
        <w:t xml:space="preserve">= .69 (</w:t>
      </w:r>
      <w:r>
        <w:rPr>
          <w:i/>
        </w:rPr>
        <w:t xml:space="preserve">SD</w:t>
      </w:r>
      <w:r>
        <w:t xml:space="preserve"> </w:t>
      </w:r>
      <w:r>
        <w:t xml:space="preserve">= .17,</w:t>
      </w:r>
      <w:r>
        <w:t xml:space="preserve"> </w:t>
      </w:r>
      <w:r>
        <w:rPr>
          <w:i/>
        </w:rPr>
        <w:t xml:space="preserve">N</w:t>
      </w:r>
      <w:r>
        <w:t xml:space="preserve"> </w:t>
      </w:r>
      <w:r>
        <w:t xml:space="preserve">= 226);</w:t>
      </w:r>
      <w:r>
        <w:t xml:space="preserve"> </w:t>
      </w:r>
      <m:oMath>
        <m:sSub>
          <m:e>
            <m:r>
              <m:t>M</m:t>
            </m:r>
          </m:e>
          <m:sub>
            <m:r>
              <m:t>M</m:t>
            </m:r>
          </m:sub>
        </m:sSub>
      </m:oMath>
      <w:r>
        <w:t xml:space="preserve"> </w:t>
      </w:r>
      <w:r>
        <w:t xml:space="preserve">= .38 (</w:t>
      </w:r>
      <w:r>
        <w:rPr>
          <w:i/>
        </w:rPr>
        <w:t xml:space="preserve">SD</w:t>
      </w:r>
      <w:r>
        <w:t xml:space="preserve"> </w:t>
      </w:r>
      <w:r>
        <w:t xml:space="preserve">= .18,</w:t>
      </w:r>
      <w:r>
        <w:t xml:space="preserve"> </w:t>
      </w:r>
      <w:r>
        <w:rPr>
          <w:i/>
        </w:rPr>
        <w:t xml:space="preserve">N</w:t>
      </w:r>
      <w:r>
        <w:t xml:space="preserve"> </w:t>
      </w:r>
      <w:r>
        <w:t xml:space="preserve">= 61);</w:t>
      </w:r>
      <w:r>
        <w:t xml:space="preserve"> </w:t>
      </w:r>
      <m:oMath>
        <m:sSub>
          <m:e>
            <m:r>
              <m:t>M</m:t>
            </m:r>
          </m:e>
          <m:sub>
            <m:r>
              <m:t>V</m:t>
            </m:r>
          </m:sub>
        </m:sSub>
      </m:oMath>
      <w:r>
        <w:t xml:space="preserve"> </w:t>
      </w:r>
      <w:r>
        <w:t xml:space="preserve">= .59 (</w:t>
      </w:r>
      <w:r>
        <w:rPr>
          <w:i/>
        </w:rPr>
        <w:t xml:space="preserve">SD</w:t>
      </w:r>
      <w:r>
        <w:t xml:space="preserve"> </w:t>
      </w:r>
      <w:r>
        <w:t xml:space="preserve">= .18,</w:t>
      </w:r>
      <w:r>
        <w:t xml:space="preserve"> </w:t>
      </w:r>
      <w:r>
        <w:rPr>
          <w:i/>
        </w:rPr>
        <w:t xml:space="preserve">N</w:t>
      </w:r>
      <w:r>
        <w:t xml:space="preserve"> </w:t>
      </w:r>
      <w:r>
        <w:t xml:space="preserve">= 68). These values indicate a somewhat comparable set of data, with lower values for</w:t>
      </w:r>
      <w:r>
        <w:t xml:space="preserve"> </w:t>
      </w:r>
      <w:r>
        <w:t xml:space="preserve">McRae et al. (2005)</w:t>
      </w:r>
      <w:r>
        <w:t xml:space="preserve"> </w:t>
      </w:r>
      <w:r>
        <w:t xml:space="preserve">than previous results. The cosine matches for translated features averaged:</w:t>
      </w:r>
      <w:r>
        <w:t xml:space="preserve"> </w:t>
      </w:r>
      <m:oMath>
        <m:sSub>
          <m:e>
            <m:r>
              <m:t>M</m:t>
            </m:r>
          </m:e>
          <m:sub>
            <m:r>
              <m:t>B</m:t>
            </m:r>
          </m:sub>
        </m:sSub>
      </m:oMath>
      <w:r>
        <w:t xml:space="preserve"> </w:t>
      </w:r>
      <w:r>
        <w:t xml:space="preserve">= .72 (</w:t>
      </w:r>
      <w:r>
        <w:rPr>
          <w:i/>
        </w:rPr>
        <w:t xml:space="preserve">SD</w:t>
      </w:r>
      <w:r>
        <w:t xml:space="preserve"> </w:t>
      </w:r>
      <w:r>
        <w:t xml:space="preserve">= .16,</w:t>
      </w:r>
      <w:r>
        <w:t xml:space="preserve"> </w:t>
      </w:r>
      <w:r>
        <w:rPr>
          <w:i/>
        </w:rPr>
        <w:t xml:space="preserve">N</w:t>
      </w:r>
      <w:r>
        <w:t xml:space="preserve"> </w:t>
      </w:r>
      <w:r>
        <w:t xml:space="preserve">= 226);</w:t>
      </w:r>
      <w:r>
        <w:t xml:space="preserve"> </w:t>
      </w:r>
      <m:oMath>
        <m:sSub>
          <m:e>
            <m:r>
              <m:t>M</m:t>
            </m:r>
          </m:e>
          <m:sub>
            <m:r>
              <m:t>M</m:t>
            </m:r>
          </m:sub>
        </m:sSub>
      </m:oMath>
      <w:r>
        <w:t xml:space="preserve"> </w:t>
      </w:r>
      <w:r>
        <w:t xml:space="preserve">= .58 (</w:t>
      </w:r>
      <w:r>
        <w:rPr>
          <w:i/>
        </w:rPr>
        <w:t xml:space="preserve">SD</w:t>
      </w:r>
      <w:r>
        <w:t xml:space="preserve"> </w:t>
      </w:r>
      <w:r>
        <w:t xml:space="preserve">= .14,</w:t>
      </w:r>
      <w:r>
        <w:t xml:space="preserve"> </w:t>
      </w:r>
      <w:r>
        <w:rPr>
          <w:i/>
        </w:rPr>
        <w:t xml:space="preserve">N</w:t>
      </w:r>
      <w:r>
        <w:t xml:space="preserve"> </w:t>
      </w:r>
      <w:r>
        <w:t xml:space="preserve">= 61);</w:t>
      </w:r>
      <w:r>
        <w:t xml:space="preserve"> </w:t>
      </w:r>
      <m:oMath>
        <m:sSub>
          <m:e>
            <m:r>
              <m:t>M</m:t>
            </m:r>
          </m:e>
          <m:sub>
            <m:r>
              <m:t>V</m:t>
            </m:r>
          </m:sub>
        </m:sSub>
      </m:oMath>
      <w:r>
        <w:t xml:space="preserve"> </w:t>
      </w:r>
      <w:r>
        <w:t xml:space="preserve">= .58 (</w:t>
      </w:r>
      <w:r>
        <w:rPr>
          <w:i/>
        </w:rPr>
        <w:t xml:space="preserve">SD</w:t>
      </w:r>
      <w:r>
        <w:t xml:space="preserve"> </w:t>
      </w:r>
      <w:r>
        <w:t xml:space="preserve">= .19,</w:t>
      </w:r>
      <w:r>
        <w:t xml:space="preserve"> </w:t>
      </w:r>
      <w:r>
        <w:rPr>
          <w:i/>
        </w:rPr>
        <w:t xml:space="preserve">N</w:t>
      </w:r>
      <w:r>
        <w:t xml:space="preserve"> </w:t>
      </w:r>
      <w:r>
        <w:t xml:space="preserve">= 68). Again, these values indicate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33" w:name="external-comparison-of-approach"/>
      <w:r>
        <w:t xml:space="preserve">External Comparison of Approach</w:t>
      </w:r>
      <w:bookmarkEnd w:id="33"/>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In their rating task, participants were shown two cue-cue pairs and asked to select the more related pair of the two presented. Each pair was rated by 50 participants, and thus, a score of 50 indicates high relatedness, while a score of 0 indicates no relatedness. A range of relatedness values were selected from this dataset with overlapping cues from</w:t>
      </w:r>
      <w:r>
        <w:t xml:space="preserve"> </w:t>
      </w:r>
      <w:r>
        <w:t xml:space="preserve">Buchanan et al. (2019)</w:t>
      </w:r>
      <w:r>
        <w:t xml:space="preserve">, and these values were compared to the cosine calculated between cues using the bag of words method. The correlation between cosine on the processed data and the MEN ratings was</w:t>
      </w:r>
      <w:r>
        <w:t xml:space="preserve"> </w:t>
      </w:r>
      <m:oMath>
        <m:r>
          <m:t>r</m:t>
        </m:r>
        <m:r>
          <m:t>=</m:t>
        </m:r>
        <m:r>
          <m:t>.69</m:t>
        </m:r>
      </m:oMath>
      <w:r>
        <w:t xml:space="preserve">, 95% CI</w:t>
      </w:r>
      <w:r>
        <w:t xml:space="preserve"> </w:t>
      </w:r>
      <m:oMath>
        <m:r>
          <m:t>[</m:t>
        </m:r>
        <m:r>
          <m:t>.61</m:t>
        </m:r>
      </m:oMath>
      <w:r>
        <w:t xml:space="preserve">,</w:t>
      </w:r>
      <w:r>
        <w:t xml:space="preserve"> </w:t>
      </w:r>
      <m:oMath>
        <m:r>
          <m:t>.76</m:t>
        </m:r>
        <m:r>
          <m:t>]</m:t>
        </m:r>
      </m:oMath>
      <w:r>
        <w:t xml:space="preserve">,</w:t>
      </w:r>
      <w:r>
        <w:t xml:space="preserve"> </w:t>
      </w:r>
      <w:r>
        <w:rPr>
          <w:i/>
        </w:rPr>
        <w:t xml:space="preserve">N</w:t>
      </w:r>
      <w:r>
        <w:t xml:space="preserve"> </w:t>
      </w:r>
      <w:r>
        <w:t xml:space="preserve">= 179, indicating considerable agreement between raters and cosine values.</w:t>
      </w:r>
    </w:p>
    <w:p>
      <w:pPr>
        <w:pStyle w:val="berschrift2"/>
      </w:pPr>
      <w:bookmarkStart w:id="34" w:name="future-directions"/>
      <w:r>
        <w:t xml:space="preserve">Future Directions</w:t>
      </w:r>
      <w:bookmarkEnd w:id="34"/>
    </w:p>
    <w:p>
      <w:pPr>
        <w:pStyle w:val="FirstParagraph"/>
      </w:pPr>
      <w:r>
        <w:t xml:space="preserve">Generally, coding ontology is cumbersome on the researcher, as it is normally performed by hand using a coding schema.</w:t>
      </w:r>
      <w:r>
        <w:t xml:space="preserve"> </w:t>
      </w:r>
      <w:r>
        <w:t xml:space="preserve">Wu and Barsalou (2009)</w:t>
      </w:r>
      <w:r>
        <w:t xml:space="preserve"> </w:t>
      </w:r>
      <w:r>
        <w:t xml:space="preserve">developed a hierarchical taxonomy for coding categories as part of the feature listing task, that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berschrift1"/>
      </w:pPr>
      <w:bookmarkStart w:id="35" w:name="discussion"/>
      <w:r>
        <w:t xml:space="preserve">Discussion</w:t>
      </w:r>
      <w:bookmarkEnd w:id="35"/>
    </w:p>
    <w:p>
      <w:pPr>
        <w:numPr>
          <w:numId w:val="1006"/>
          <w:ilvl w:val="0"/>
        </w:numPr>
      </w:pPr>
      <w:r>
        <w:t xml:space="preserve">this sort of thing is great for replication purposes, which is pretty important because of the garden of forking paths which applies not just to statistical analyses but also to processing.</w:t>
      </w:r>
    </w:p>
    <w:p>
      <w:pPr>
        <w:numPr>
          <w:numId w:val="1006"/>
          <w:ilvl w:val="0"/>
        </w:numPr>
      </w:pPr>
      <w:r>
        <w:t xml:space="preserve">we’ve provided a workflow suggestion that a researcher can use to format their work, along with functions that can be detailed to match any hand processing results.</w:t>
      </w:r>
    </w:p>
    <w:p>
      <w:pPr>
        <w:numPr>
          <w:numId w:val="1006"/>
          <w:ilvl w:val="0"/>
        </w:numPr>
      </w:pPr>
      <w:r>
        <w:t xml:space="preserve">weave this to match introduction</w:t>
      </w:r>
    </w:p>
    <w:p>
      <w:pPr>
        <w:pStyle w:val="berschrift1"/>
      </w:pPr>
      <w:bookmarkStart w:id="36" w:name="references"/>
      <w:r>
        <w:t xml:space="preserve">References</w:t>
      </w:r>
      <w:bookmarkEnd w:id="36"/>
    </w:p>
    <w:bookmarkStart w:id="91" w:name="refs"/>
    <w:bookmarkStart w:id="38" w:name="ref-Ashcraft1978a"/>
    <w:p>
      <w:pPr>
        <w:pStyle w:val="FirstParagraph"/>
      </w:pPr>
      <w:r>
        <w:t xml:space="preserve">Ashcraft, M. H. (1978). Property norms for typical and atypical items from 17 categories: A description and discussion.</w:t>
      </w:r>
      <w:r>
        <w:t xml:space="preserve"> </w:t>
      </w:r>
      <w:r>
        <w:rPr>
          <w:i/>
        </w:rPr>
        <w:t xml:space="preserve">Memory &amp; Cognition</w:t>
      </w:r>
      <w:r>
        <w:t xml:space="preserve">,</w:t>
      </w:r>
      <w:r>
        <w:t xml:space="preserve"> </w:t>
      </w:r>
      <w:r>
        <w:rPr>
          <w:i/>
        </w:rPr>
        <w:t xml:space="preserve">6</w:t>
      </w:r>
      <w:r>
        <w:t xml:space="preserve">(3), 227–232. doi:</w:t>
      </w:r>
      <w:hyperlink r:id="rId37">
        <w:r>
          <w:rPr>
            <w:rStyle w:val="Hyperlink"/>
          </w:rPr>
          <w:t xml:space="preserve">10.3758/BF03197450</w:t>
        </w:r>
      </w:hyperlink>
    </w:p>
    <w:bookmarkEnd w:id="38"/>
    <w:bookmarkStart w:id="40" w:name="ref-Benoit2017"/>
    <w:p>
      <w:pPr>
        <w:pStyle w:val="Textkrper"/>
      </w:pPr>
      <w:r>
        <w:t xml:space="preserve">Benoit, K., Muhr, D., &amp; Watanabe, K. (2017). stopwords: Multilingual Stopword Lists. Retrieved from</w:t>
      </w:r>
      <w:r>
        <w:t xml:space="preserve"> </w:t>
      </w:r>
      <w:hyperlink r:id="rId39">
        <w:r>
          <w:rPr>
            <w:rStyle w:val="Hyperlink"/>
          </w:rPr>
          <w:t xml:space="preserve">https://cran.r-project.org/web/packages/stopwords/index.html</w:t>
        </w:r>
      </w:hyperlink>
    </w:p>
    <w:bookmarkEnd w:id="40"/>
    <w:bookmarkStart w:id="42"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41">
        <w:r>
          <w:rPr>
            <w:rStyle w:val="Hyperlink"/>
          </w:rPr>
          <w:t xml:space="preserve">10.1613/jair.4135</w:t>
        </w:r>
      </w:hyperlink>
    </w:p>
    <w:bookmarkEnd w:id="42"/>
    <w:bookmarkStart w:id="44"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3">
        <w:r>
          <w:rPr>
            <w:rStyle w:val="Hyperlink"/>
          </w:rPr>
          <w:t xml:space="preserve">10.3758/s13428-012-0284-z</w:t>
        </w:r>
      </w:hyperlink>
    </w:p>
    <w:bookmarkEnd w:id="44"/>
    <w:bookmarkStart w:id="46"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45">
        <w:r>
          <w:rPr>
            <w:rStyle w:val="Hyperlink"/>
          </w:rPr>
          <w:t xml:space="preserve">10.3758/s13428-019-01243-z</w:t>
        </w:r>
      </w:hyperlink>
    </w:p>
    <w:bookmarkEnd w:id="46"/>
    <w:bookmarkStart w:id="48"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47">
        <w:r>
          <w:rPr>
            <w:rStyle w:val="Hyperlink"/>
          </w:rPr>
          <w:t xml:space="preserve">10.1016/S0022-5371(69)80069-1</w:t>
        </w:r>
      </w:hyperlink>
    </w:p>
    <w:bookmarkEnd w:id="48"/>
    <w:bookmarkStart w:id="50"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49">
        <w:r>
          <w:rPr>
            <w:rStyle w:val="Hyperlink"/>
          </w:rPr>
          <w:t xml:space="preserve">10.3758/s13428-013-0420-4</w:t>
        </w:r>
      </w:hyperlink>
    </w:p>
    <w:bookmarkEnd w:id="50"/>
    <w:bookmarkStart w:id="52" w:name="ref-Feinerer2018"/>
    <w:p>
      <w:pPr>
        <w:pStyle w:val="Textkrper"/>
      </w:pPr>
      <w:r>
        <w:t xml:space="preserve">Feinerer, I., Hornik, K., &amp; Artifex Software, I. (2018). tm: Text Mining Package. Retrieved from</w:t>
      </w:r>
      <w:r>
        <w:t xml:space="preserve"> </w:t>
      </w:r>
      <w:hyperlink r:id="rId51">
        <w:r>
          <w:rPr>
            <w:rStyle w:val="Hyperlink"/>
          </w:rPr>
          <w:t xml:space="preserve">https://cran.r-project.org/web/packages/tm/index.html</w:t>
        </w:r>
      </w:hyperlink>
    </w:p>
    <w:bookmarkEnd w:id="52"/>
    <w:bookmarkStart w:id="54" w:name="ref-Gagolewski2019"/>
    <w:p>
      <w:pPr>
        <w:pStyle w:val="Textkrper"/>
      </w:pPr>
      <w:r>
        <w:t xml:space="preserve">Gagolewski, M., &amp; Tartanus, B. (2019). stringi: Character String Processing Facilities. Retrieved from</w:t>
      </w:r>
      <w:r>
        <w:t xml:space="preserve"> </w:t>
      </w:r>
      <w:hyperlink r:id="rId53">
        <w:r>
          <w:rPr>
            <w:rStyle w:val="Hyperlink"/>
          </w:rPr>
          <w:t xml:space="preserve">https://cran.r-project.org/web/packages/stringi/index.html</w:t>
        </w:r>
      </w:hyperlink>
    </w:p>
    <w:bookmarkEnd w:id="54"/>
    <w:bookmarkStart w:id="56"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55">
        <w:r>
          <w:rPr>
            <w:rStyle w:val="Hyperlink"/>
          </w:rPr>
          <w:t xml:space="preserve">10.3758/s13428-010-0028-x</w:t>
        </w:r>
      </w:hyperlink>
    </w:p>
    <w:bookmarkEnd w:id="56"/>
    <w:bookmarkStart w:id="58"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57">
        <w:r>
          <w:rPr>
            <w:rStyle w:val="Hyperlink"/>
          </w:rPr>
          <w:t xml:space="preserve">10.3758/s13428-013-0323-4</w:t>
        </w:r>
      </w:hyperlink>
    </w:p>
    <w:bookmarkEnd w:id="58"/>
    <w:bookmarkStart w:id="60"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9">
        <w:r>
          <w:rPr>
            <w:rStyle w:val="Hyperlink"/>
          </w:rPr>
          <w:t xml:space="preserve">10.3758/BF03192726</w:t>
        </w:r>
      </w:hyperlink>
    </w:p>
    <w:bookmarkEnd w:id="60"/>
    <w:bookmarkStart w:id="62" w:name="ref-Michalke2018"/>
    <w:p>
      <w:pPr>
        <w:pStyle w:val="Textkrper"/>
      </w:pPr>
      <w:r>
        <w:t xml:space="preserve">Michalke, M. (2018). koRpus: An R Package for Text Analysis. Retrieved from</w:t>
      </w:r>
      <w:r>
        <w:t xml:space="preserve"> </w:t>
      </w:r>
      <w:hyperlink r:id="rId61">
        <w:r>
          <w:rPr>
            <w:rStyle w:val="Hyperlink"/>
          </w:rPr>
          <w:t xml:space="preserve">https://cran.r-project.org/web/packages/koRpus/index.html</w:t>
        </w:r>
      </w:hyperlink>
    </w:p>
    <w:bookmarkEnd w:id="62"/>
    <w:bookmarkStart w:id="64"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63">
        <w:r>
          <w:rPr>
            <w:rStyle w:val="Hyperlink"/>
          </w:rPr>
          <w:t xml:space="preserve">10.3758/s13428-012-0263-4</w:t>
        </w:r>
      </w:hyperlink>
    </w:p>
    <w:bookmarkEnd w:id="64"/>
    <w:bookmarkStart w:id="66" w:name="ref-Ooms2018"/>
    <w:p>
      <w:pPr>
        <w:pStyle w:val="Textkrper"/>
      </w:pPr>
      <w:r>
        <w:t xml:space="preserve">Ooms, J. (2018). The hunspell package: High-Performance Stemmer, Tokenizer, and Spell Checker for R. Retrieved from</w:t>
      </w:r>
      <w:r>
        <w:t xml:space="preserve"> </w:t>
      </w:r>
      <w:hyperlink r:id="rId65">
        <w:r>
          <w:rPr>
            <w:rStyle w:val="Hyperlink"/>
          </w:rPr>
          <w:t xml:space="preserve">https://cran.r-project.org/web/packages/hunspell/vignettes/intro.html{\#}setting{\_}a{\_}language</w:t>
        </w:r>
      </w:hyperlink>
    </w:p>
    <w:bookmarkEnd w:id="66"/>
    <w:bookmarkStart w:id="68" w:name="ref-Perry2017"/>
    <w:p>
      <w:pPr>
        <w:pStyle w:val="Textkrper"/>
      </w:pPr>
      <w:r>
        <w:t xml:space="preserve">Perry, P. O. (2017). corpus: Text Corpus Analysis. Retrieved from</w:t>
      </w:r>
      <w:r>
        <w:t xml:space="preserve"> </w:t>
      </w:r>
      <w:hyperlink r:id="rId67">
        <w:r>
          <w:rPr>
            <w:rStyle w:val="Hyperlink"/>
          </w:rPr>
          <w:t xml:space="preserve">http://corpustext.com/</w:t>
        </w:r>
      </w:hyperlink>
    </w:p>
    <w:bookmarkEnd w:id="68"/>
    <w:bookmarkStart w:id="69" w:name="ref-Reverberi2004"/>
    <w:p>
      <w:pPr>
        <w:pStyle w:val="Textkrper"/>
      </w:pPr>
      <w:r>
        <w:t xml:space="preserve">Reverberi, C., Capitani, E., &amp; Laiacona, E. (2004). Variabili semantico lessicali relative a tutti gli elementi di una categoria semantica: Indagine su soggetti normali italiani per la categoria “frutta".</w:t>
      </w:r>
      <w:r>
        <w:t xml:space="preserve"> </w:t>
      </w:r>
      <w:r>
        <w:rPr>
          <w:i/>
        </w:rPr>
        <w:t xml:space="preserve">Giornale Italiano Di Psicologia</w:t>
      </w:r>
      <w:r>
        <w:t xml:space="preserve">,</w:t>
      </w:r>
      <w:r>
        <w:t xml:space="preserve"> </w:t>
      </w:r>
      <w:r>
        <w:rPr>
          <w:i/>
        </w:rPr>
        <w:t xml:space="preserve">31</w:t>
      </w:r>
      <w:r>
        <w:t xml:space="preserve">, 497–522.</w:t>
      </w:r>
    </w:p>
    <w:bookmarkEnd w:id="69"/>
    <w:bookmarkStart w:id="71"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70">
        <w:r>
          <w:rPr>
            <w:rStyle w:val="Hyperlink"/>
          </w:rPr>
          <w:t xml:space="preserve">10.1016/0010-0285(75)90024-9</w:t>
        </w:r>
      </w:hyperlink>
    </w:p>
    <w:bookmarkEnd w:id="71"/>
    <w:bookmarkStart w:id="73"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72">
        <w:r>
          <w:rPr>
            <w:rStyle w:val="Hyperlink"/>
          </w:rPr>
          <w:t xml:space="preserve">10.3758/BF03195597</w:t>
        </w:r>
      </w:hyperlink>
    </w:p>
    <w:bookmarkEnd w:id="73"/>
    <w:bookmarkStart w:id="75" w:name="ref-Schmid1994"/>
    <w:p>
      <w:pPr>
        <w:pStyle w:val="Textkrper"/>
      </w:pPr>
      <w:r>
        <w:t xml:space="preserve">Schmid, H. (1994). Probabilistic Part-of-Speech Tagging Using Decision Trees. doi:</w:t>
      </w:r>
      <w:hyperlink r:id="rId74">
        <w:r>
          <w:rPr>
            <w:rStyle w:val="Hyperlink"/>
          </w:rPr>
          <w:t xml:space="preserve">10.1.1.28.1139</w:t>
        </w:r>
      </w:hyperlink>
    </w:p>
    <w:bookmarkEnd w:id="75"/>
    <w:bookmarkStart w:id="77" w:name="ref-Stein2009"/>
    <w:p>
      <w:pPr>
        <w:pStyle w:val="Textkrper"/>
      </w:pPr>
      <w:r>
        <w:t xml:space="preserve">Stein, L., &amp; de Azevedo Gomes, C. (2009). Normas Brasileiras para listas de palavras associadas: Associação semântica, concretude, frequência e emocionalidade.</w:t>
      </w:r>
      <w:r>
        <w:t xml:space="preserve"> </w:t>
      </w:r>
      <w:r>
        <w:rPr>
          <w:i/>
        </w:rPr>
        <w:t xml:space="preserve">Psicologia: Teoria E Pesquisa</w:t>
      </w:r>
      <w:r>
        <w:t xml:space="preserve">,</w:t>
      </w:r>
      <w:r>
        <w:t xml:space="preserve"> </w:t>
      </w:r>
      <w:r>
        <w:rPr>
          <w:i/>
        </w:rPr>
        <w:t xml:space="preserve">25</w:t>
      </w:r>
      <w:r>
        <w:t xml:space="preserve">, 537–546. doi:</w:t>
      </w:r>
      <w:hyperlink r:id="rId76">
        <w:r>
          <w:rPr>
            <w:rStyle w:val="Hyperlink"/>
          </w:rPr>
          <w:t xml:space="preserve">10.1590/S0102-37722009000400009</w:t>
        </w:r>
      </w:hyperlink>
    </w:p>
    <w:bookmarkEnd w:id="77"/>
    <w:bookmarkStart w:id="79" w:name="ref-Toglia2009"/>
    <w:p>
      <w:pPr>
        <w:pStyle w:val="Textkrper"/>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78">
        <w:r>
          <w:rPr>
            <w:rStyle w:val="Hyperlink"/>
          </w:rPr>
          <w:t xml:space="preserve">10.3758/BRM.41.2.531</w:t>
        </w:r>
      </w:hyperlink>
    </w:p>
    <w:bookmarkEnd w:id="79"/>
    <w:bookmarkStart w:id="80" w:name="ref-Toglia1978"/>
    <w:p>
      <w:pPr>
        <w:pStyle w:val="Textkrper"/>
      </w:pPr>
      <w:r>
        <w:t xml:space="preserve">Toglia, M. P., &amp; Battig, W. F. (1978).</w:t>
      </w:r>
      <w:r>
        <w:t xml:space="preserve"> </w:t>
      </w:r>
      <w:r>
        <w:rPr>
          <w:i/>
        </w:rPr>
        <w:t xml:space="preserve">Handbook of semantic word norms</w:t>
      </w:r>
      <w:r>
        <w:t xml:space="preserve">. Hillside, NJ: Earlbaum.</w:t>
      </w:r>
    </w:p>
    <w:bookmarkEnd w:id="80"/>
    <w:bookmarkStart w:id="82"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81">
        <w:r>
          <w:rPr>
            <w:rStyle w:val="Hyperlink"/>
          </w:rPr>
          <w:t xml:space="preserve">10.3758/BRM.40.1.183</w:t>
        </w:r>
      </w:hyperlink>
    </w:p>
    <w:bookmarkEnd w:id="82"/>
    <w:bookmarkStart w:id="84"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83">
        <w:r>
          <w:rPr>
            <w:rStyle w:val="Hyperlink"/>
          </w:rPr>
          <w:t xml:space="preserve">10.3758/s13428-016-0777-2</w:t>
        </w:r>
      </w:hyperlink>
    </w:p>
    <w:bookmarkEnd w:id="84"/>
    <w:bookmarkStart w:id="86" w:name="ref-Wickham2014"/>
    <w:p>
      <w:pPr>
        <w:pStyle w:val="Textkrper"/>
      </w:pPr>
      <w:r>
        <w:t xml:space="preserve">Wickham, H. (2014). Tidy Data.</w:t>
      </w:r>
      <w:r>
        <w:t xml:space="preserve"> </w:t>
      </w:r>
      <w:r>
        <w:rPr>
          <w:i/>
        </w:rPr>
        <w:t xml:space="preserve">Journal of Statistical Software</w:t>
      </w:r>
      <w:r>
        <w:t xml:space="preserve">,</w:t>
      </w:r>
      <w:r>
        <w:t xml:space="preserve"> </w:t>
      </w:r>
      <w:r>
        <w:rPr>
          <w:i/>
        </w:rPr>
        <w:t xml:space="preserve">59</w:t>
      </w:r>
      <w:r>
        <w:t xml:space="preserve">(10), 1–23. doi:</w:t>
      </w:r>
      <w:hyperlink r:id="rId85">
        <w:r>
          <w:rPr>
            <w:rStyle w:val="Hyperlink"/>
          </w:rPr>
          <w:t xml:space="preserve">10.18637/jss.v059.i10</w:t>
        </w:r>
      </w:hyperlink>
    </w:p>
    <w:bookmarkEnd w:id="86"/>
    <w:bookmarkStart w:id="88" w:name="ref-Wickham2019"/>
    <w:p>
      <w:pPr>
        <w:pStyle w:val="Textkrper"/>
      </w:pPr>
      <w:r>
        <w:t xml:space="preserve">Wickham, H., Francios, R., Henry, L., Muller, K., &amp; Rstudio. (2019). dplyr: A Grammar of Data Manipulation. Retrieved from</w:t>
      </w:r>
      <w:r>
        <w:t xml:space="preserve"> </w:t>
      </w:r>
      <w:hyperlink r:id="rId87">
        <w:r>
          <w:rPr>
            <w:rStyle w:val="Hyperlink"/>
          </w:rPr>
          <w:t xml:space="preserve">https://cloud.r-project.org/web/packages/dplyr/index.html</w:t>
        </w:r>
      </w:hyperlink>
    </w:p>
    <w:bookmarkEnd w:id="88"/>
    <w:bookmarkStart w:id="90"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89">
        <w:r>
          <w:rPr>
            <w:rStyle w:val="Hyperlink"/>
          </w:rPr>
          <w:t xml:space="preserve">10.1016/j.actpsy.2009.02.002</w:t>
        </w:r>
      </w:hyperlink>
    </w:p>
    <w:bookmarkEnd w:id="90"/>
    <w:bookmarkEnd w:id="9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67" Target="http://corpustext.com/" TargetMode="External" /><Relationship Type="http://schemas.openxmlformats.org/officeDocument/2006/relationships/hyperlink" Id="rId87" Target="https://cloud.r-project.org/web/packages/dplyr/index.html" TargetMode="External" /><Relationship Type="http://schemas.openxmlformats.org/officeDocument/2006/relationships/hyperlink" Id="rId65" Target="https://cran.r-project.org/web/packages/hunspell/vignettes/intro.html{\#}setting{\_}a{\_}language" TargetMode="External" /><Relationship Type="http://schemas.openxmlformats.org/officeDocument/2006/relationships/hyperlink" Id="rId61" Target="https://cran.r-project.org/web/packages/koRpus/index.html" TargetMode="External" /><Relationship Type="http://schemas.openxmlformats.org/officeDocument/2006/relationships/hyperlink" Id="rId39" Target="https://cran.r-project.org/web/packages/stopwords/index.html" TargetMode="External" /><Relationship Type="http://schemas.openxmlformats.org/officeDocument/2006/relationships/hyperlink" Id="rId53" Target="https://cran.r-project.org/web/packages/stringi/index.html" TargetMode="External" /><Relationship Type="http://schemas.openxmlformats.org/officeDocument/2006/relationships/hyperlink" Id="rId51"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4" Target="https://doi.org/10.1.1.28.1139" TargetMode="External" /><Relationship Type="http://schemas.openxmlformats.org/officeDocument/2006/relationships/hyperlink" Id="rId70" Target="https://doi.org/10.1016/0010-0285(75)90024-9" TargetMode="External" /><Relationship Type="http://schemas.openxmlformats.org/officeDocument/2006/relationships/hyperlink" Id="rId47" Target="https://doi.org/10.1016/S0022-5371(69)80069-1" TargetMode="External" /><Relationship Type="http://schemas.openxmlformats.org/officeDocument/2006/relationships/hyperlink" Id="rId89" Target="https://doi.org/10.1016/j.actpsy.2009.02.002" TargetMode="External" /><Relationship Type="http://schemas.openxmlformats.org/officeDocument/2006/relationships/hyperlink" Id="rId76" Target="https://doi.org/10.1590/S0102-37722009000400009" TargetMode="External" /><Relationship Type="http://schemas.openxmlformats.org/officeDocument/2006/relationships/hyperlink" Id="rId41" Target="https://doi.org/10.1613/jair.4135" TargetMode="External" /><Relationship Type="http://schemas.openxmlformats.org/officeDocument/2006/relationships/hyperlink" Id="rId85" Target="https://doi.org/10.18637/jss.v059.i10" TargetMode="External" /><Relationship Type="http://schemas.openxmlformats.org/officeDocument/2006/relationships/hyperlink" Id="rId59" Target="https://doi.org/10.3758/BF03192726" TargetMode="External" /><Relationship Type="http://schemas.openxmlformats.org/officeDocument/2006/relationships/hyperlink" Id="rId72"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81" Target="https://doi.org/10.3758/BRM.40.1.183" TargetMode="External" /><Relationship Type="http://schemas.openxmlformats.org/officeDocument/2006/relationships/hyperlink" Id="rId78" Target="https://doi.org/10.3758/BRM.41.2.531" TargetMode="External" /><Relationship Type="http://schemas.openxmlformats.org/officeDocument/2006/relationships/hyperlink" Id="rId55" Target="https://doi.org/10.3758/s13428-010-0028-x" TargetMode="External" /><Relationship Type="http://schemas.openxmlformats.org/officeDocument/2006/relationships/hyperlink" Id="rId63" Target="https://doi.org/10.3758/s13428-012-0263-4" TargetMode="External" /><Relationship Type="http://schemas.openxmlformats.org/officeDocument/2006/relationships/hyperlink" Id="rId43" Target="https://doi.org/10.3758/s13428-012-0284-z" TargetMode="External" /><Relationship Type="http://schemas.openxmlformats.org/officeDocument/2006/relationships/hyperlink" Id="rId57" Target="https://doi.org/10.3758/s13428-013-0323-4" TargetMode="External" /><Relationship Type="http://schemas.openxmlformats.org/officeDocument/2006/relationships/hyperlink" Id="rId49" Target="https://doi.org/10.3758/s13428-013-0420-4" TargetMode="External" /><Relationship Type="http://schemas.openxmlformats.org/officeDocument/2006/relationships/hyperlink" Id="rId83" Target="https://doi.org/10.3758/s13428-016-0777-2" TargetMode="External" /><Relationship Type="http://schemas.openxmlformats.org/officeDocument/2006/relationships/hyperlink" Id="rId45" Target="https://doi.org/10.3758/s13428-019-01243-z"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67" Target="http://corpustext.com/" TargetMode="External" /><Relationship Type="http://schemas.openxmlformats.org/officeDocument/2006/relationships/hyperlink" Id="rId87" Target="https://cloud.r-project.org/web/packages/dplyr/index.html" TargetMode="External" /><Relationship Type="http://schemas.openxmlformats.org/officeDocument/2006/relationships/hyperlink" Id="rId65" Target="https://cran.r-project.org/web/packages/hunspell/vignettes/intro.html{\#}setting{\_}a{\_}language" TargetMode="External" /><Relationship Type="http://schemas.openxmlformats.org/officeDocument/2006/relationships/hyperlink" Id="rId61" Target="https://cran.r-project.org/web/packages/koRpus/index.html" TargetMode="External" /><Relationship Type="http://schemas.openxmlformats.org/officeDocument/2006/relationships/hyperlink" Id="rId39" Target="https://cran.r-project.org/web/packages/stopwords/index.html" TargetMode="External" /><Relationship Type="http://schemas.openxmlformats.org/officeDocument/2006/relationships/hyperlink" Id="rId53" Target="https://cran.r-project.org/web/packages/stringi/index.html" TargetMode="External" /><Relationship Type="http://schemas.openxmlformats.org/officeDocument/2006/relationships/hyperlink" Id="rId51"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4" Target="https://doi.org/10.1.1.28.1139" TargetMode="External" /><Relationship Type="http://schemas.openxmlformats.org/officeDocument/2006/relationships/hyperlink" Id="rId70" Target="https://doi.org/10.1016/0010-0285(75)90024-9" TargetMode="External" /><Relationship Type="http://schemas.openxmlformats.org/officeDocument/2006/relationships/hyperlink" Id="rId47" Target="https://doi.org/10.1016/S0022-5371(69)80069-1" TargetMode="External" /><Relationship Type="http://schemas.openxmlformats.org/officeDocument/2006/relationships/hyperlink" Id="rId89" Target="https://doi.org/10.1016/j.actpsy.2009.02.002" TargetMode="External" /><Relationship Type="http://schemas.openxmlformats.org/officeDocument/2006/relationships/hyperlink" Id="rId76" Target="https://doi.org/10.1590/S0102-37722009000400009" TargetMode="External" /><Relationship Type="http://schemas.openxmlformats.org/officeDocument/2006/relationships/hyperlink" Id="rId41" Target="https://doi.org/10.1613/jair.4135" TargetMode="External" /><Relationship Type="http://schemas.openxmlformats.org/officeDocument/2006/relationships/hyperlink" Id="rId85" Target="https://doi.org/10.18637/jss.v059.i10" TargetMode="External" /><Relationship Type="http://schemas.openxmlformats.org/officeDocument/2006/relationships/hyperlink" Id="rId59" Target="https://doi.org/10.3758/BF03192726" TargetMode="External" /><Relationship Type="http://schemas.openxmlformats.org/officeDocument/2006/relationships/hyperlink" Id="rId72"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81" Target="https://doi.org/10.3758/BRM.40.1.183" TargetMode="External" /><Relationship Type="http://schemas.openxmlformats.org/officeDocument/2006/relationships/hyperlink" Id="rId78" Target="https://doi.org/10.3758/BRM.41.2.531" TargetMode="External" /><Relationship Type="http://schemas.openxmlformats.org/officeDocument/2006/relationships/hyperlink" Id="rId55" Target="https://doi.org/10.3758/s13428-010-0028-x" TargetMode="External" /><Relationship Type="http://schemas.openxmlformats.org/officeDocument/2006/relationships/hyperlink" Id="rId63" Target="https://doi.org/10.3758/s13428-012-0263-4" TargetMode="External" /><Relationship Type="http://schemas.openxmlformats.org/officeDocument/2006/relationships/hyperlink" Id="rId43" Target="https://doi.org/10.3758/s13428-012-0284-z" TargetMode="External" /><Relationship Type="http://schemas.openxmlformats.org/officeDocument/2006/relationships/hyperlink" Id="rId57" Target="https://doi.org/10.3758/s13428-013-0323-4" TargetMode="External" /><Relationship Type="http://schemas.openxmlformats.org/officeDocument/2006/relationships/hyperlink" Id="rId49" Target="https://doi.org/10.3758/s13428-013-0420-4" TargetMode="External" /><Relationship Type="http://schemas.openxmlformats.org/officeDocument/2006/relationships/hyperlink" Id="rId83" Target="https://doi.org/10.3758/s13428-016-0777-2" TargetMode="External" /><Relationship Type="http://schemas.openxmlformats.org/officeDocument/2006/relationships/hyperlink" Id="rId45" Target="https://doi.org/10.3758/s13428-019-01243-z"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2019-05-25T20:14:53Z</dcterms:created>
  <dcterms:modified xsi:type="dcterms:W3CDTF">2019-05-25T20:14:53Z</dcterms:modified>
</cp:coreProperties>
</file>