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3,4</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Melbourne</w:t>
            </w:r>
          </w:p>
        </w:tc>
      </w:tr>
      <w:tr>
        <w:tc>
          <w:p>
            <w:pPr>
              <w:pStyle w:val="Compact"/>
              <w:jc w:val="center"/>
            </w:pPr>
            <w:r>
              <w:rPr>
                <w:vertAlign w:val="superscript"/>
              </w:rPr>
              <w:t xml:space="preserve">3</w:t>
            </w:r>
            <w:r>
              <w:t xml:space="preserve"> </w:t>
            </w:r>
            <w:r>
              <w:t xml:space="preserve">University of Padova</w:t>
            </w:r>
          </w:p>
        </w:tc>
      </w:tr>
      <w:tr>
        <w:tc>
          <w:p>
            <w:pPr>
              <w:pStyle w:val="Compact"/>
              <w:jc w:val="center"/>
            </w:pPr>
            <w:r>
              <w:rPr>
                <w:vertAlign w:val="superscript"/>
              </w:rPr>
              <w:t xml:space="preserve">4</w:t>
            </w:r>
            <w:r>
              <w:t xml:space="preserve"> </w:t>
            </w:r>
            <w:r>
              <w:t xml:space="preserve">University College London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w:t>
      </w:r>
      <w:r>
        <w:rPr>
          <w:i/>
        </w:rPr>
        <w:t xml:space="preserve">barks</w:t>
      </w:r>
      <w:r>
        <w:t xml:space="preserve">&gt;, &lt;</w:t>
      </w:r>
      <w:r>
        <w:rPr>
          <w:i/>
        </w:rPr>
        <w:t xml:space="preserve">has fur</w:t>
      </w:r>
      <w:r>
        <w:t xml:space="preserve">&gt;)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Textkrper"/>
      </w:pPr>
      <w:r>
        <w:t xml:space="preserve">Semantic properties are assumed to be, entirely or in part, the building blocks of semantic representation - the knowledge we have of the world - by a variety of theories</w:t>
      </w:r>
      <w:r>
        <w:t xml:space="preserve"> </w:t>
      </w:r>
      <w:r>
        <w:t xml:space="preserve">(e.g., Collins &amp; Quillian, 1969; Jackendoff, 1992, 2002; Minsky, 1975; Norman &amp; Rumelhart, 1975; Saffran &amp; Sholl, 1999; Smith &amp; Medin, 1981)</w:t>
      </w:r>
      <w:r>
        <w:t xml:space="preserve"> </w:t>
      </w:r>
      <w:r>
        <w:t xml:space="preserve">and computational models</w:t>
      </w:r>
      <w:r>
        <w:t xml:space="preserve"> </w:t>
      </w:r>
      <w:r>
        <w:t xml:space="preserve">(Caramazza, Laudanna, &amp; Romani, 1988; Farah &amp; McClelland, 1991; Humphreys &amp; Forde, 2001)</w:t>
      </w:r>
      <w:r>
        <w:t xml:space="preserve">. Within this perspective, the meaning of a concept is conceived as a distributed pattern of semantic properties, which convey multiple types of information</w:t>
      </w:r>
      <w:r>
        <w:t xml:space="preserve"> </w:t>
      </w:r>
      <w:r>
        <w:t xml:space="preserve">(Cree &amp; McRae, 2003; Plaut, 2002; Rogers et al., 2004)</w:t>
      </w:r>
      <w:r>
        <w:t xml:space="preserve">. For example, the concept HORSE can be described by encyclopedic (&lt;</w:t>
      </w:r>
      <w:r>
        <w:rPr>
          <w:i/>
        </w:rPr>
        <w:t xml:space="preserve">is a mammal</w:t>
      </w:r>
      <w:r>
        <w:t xml:space="preserve">&gt;), visual (&lt;</w:t>
      </w:r>
      <w:r>
        <w:rPr>
          <w:i/>
        </w:rPr>
        <w:t xml:space="preserve">is furry</w:t>
      </w:r>
      <w:r>
        <w:t xml:space="preserve">&gt;, &lt;</w:t>
      </w:r>
      <w:r>
        <w:rPr>
          <w:i/>
        </w:rPr>
        <w:t xml:space="preserve">has legs</w:t>
      </w:r>
      <w:r>
        <w:t xml:space="preserve">&gt;, &lt;</w:t>
      </w:r>
      <w:r>
        <w:rPr>
          <w:i/>
        </w:rPr>
        <w:t xml:space="preserve">has a tail</w:t>
      </w:r>
      <w:r>
        <w:t xml:space="preserve">&gt;, &lt;</w:t>
      </w:r>
      <w:r>
        <w:rPr>
          <w:i/>
        </w:rPr>
        <w:t xml:space="preserve">has a mane</w:t>
      </w:r>
      <w:r>
        <w:t xml:space="preserve">&gt;), functional (&lt;</w:t>
      </w:r>
      <w:r>
        <w:rPr>
          <w:i/>
        </w:rPr>
        <w:t xml:space="preserve">used for racing</w:t>
      </w:r>
      <w:r>
        <w:t xml:space="preserve">&gt;), and motor (&lt;</w:t>
      </w:r>
      <w:r>
        <w:rPr>
          <w:i/>
        </w:rPr>
        <w:t xml:space="preserve">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w:t>
      </w:r>
      <w:r>
        <w:t xml:space="preserve"> </w:t>
      </w:r>
      <w:r>
        <w:rPr>
          <w:i/>
        </w:rPr>
        <w:t xml:space="preserve">cues</w:t>
      </w:r>
      <w:r>
        <w:t xml:space="preserve">, and the responses to the cue are called</w:t>
      </w:r>
      <w:r>
        <w:t xml:space="preserve"> </w:t>
      </w:r>
      <w:r>
        <w:rPr>
          <w:i/>
        </w:rPr>
        <w:t xml:space="preserve">features</w:t>
      </w:r>
      <w:r>
        <w:rPr>
          <w:rStyle w:val="Funotenzeichen"/>
        </w:rPr>
        <w:footnoteReference w:id="22"/>
      </w:r>
      <w:r>
        <w:t xml:space="preserve">. This method has a long history of use by researchers wishing to gain insight into semantic representations of concrete concepts and categories</w:t>
      </w:r>
      <w:r>
        <w:t xml:space="preserve"> </w:t>
      </w:r>
      <w:r>
        <w:t xml:space="preserve">(McRae, Cree, Seidenberg, &amp; McNorgan, 2005; Rosch &amp; Mervis, 1975; Smith, Shoben, &amp; Rips, 1974)</w:t>
      </w:r>
      <w:r>
        <w:t xml:space="preserve">, and more recently, events and abstract concepts</w:t>
      </w:r>
      <w:r>
        <w:t xml:space="preserve"> </w:t>
      </w:r>
      <w:r>
        <w:t xml:space="preserve">(Lebani, Lenci, &amp; Bondielli, 2016; Vinson &amp; Vigliocco, 2008; Wiemer-Hastings &amp; Xu, 2005)</w:t>
      </w:r>
      <w:r>
        <w:t xml:space="preserve">.</w:t>
      </w:r>
    </w:p>
    <w:p>
      <w:pPr>
        <w:pStyle w:val="Textkrper"/>
      </w:pPr>
      <w:r>
        <w:t xml:space="preserve">On the one hand, many studies adopted the property generation task itself to make inferences about word meaning and its computation</w:t>
      </w:r>
      <w:r>
        <w:t xml:space="preserve"> </w:t>
      </w:r>
      <w:r>
        <w:t xml:space="preserve">(Recchia &amp; Jones, 2012; Santos, Chaigneau, Simmons, &amp; Barsalou, 2011; Wiemer-Hastings &amp; Xu, 2005; Wu &amp; Barsalou, 2009)</w:t>
      </w:r>
      <w:r>
        <w:t xml:space="preserve">.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w:t>
      </w:r>
      <w:r>
        <w:t xml:space="preserve"> </w:t>
      </w:r>
      <w:r>
        <w:t xml:space="preserve">(Buchanan, Valentine, &amp; Maxwell, 2019; McRae et al., 2005; Montefinese, Vinson, &amp; Ambrosini, 2018; Montefinese, Zannino, &amp; Ambrosini, 2015; Vigliocco, Vinson, Lewis, &amp; Garrett, 2004)</w:t>
      </w:r>
      <w:r>
        <w:t xml:space="preserve">, or how different types</w:t>
      </w:r>
      <w:r>
        <w:t xml:space="preserve"> </w:t>
      </w:r>
      <w:r>
        <w:t xml:space="preserve">(Kremer &amp; Baroni, 2011; Zannino et al., 2006a)</w:t>
      </w:r>
      <w:r>
        <w:t xml:space="preserve"> </w:t>
      </w:r>
      <w:r>
        <w:t xml:space="preserve">and dimensions of feature informativeness, such as, distinctiveness</w:t>
      </w:r>
      <w:r>
        <w:t xml:space="preserve"> </w:t>
      </w:r>
      <w:r>
        <w:t xml:space="preserve">(Duarte, Marquié, Marquié, Terrier, &amp; Ousset, 2009; Garrard, Lambon Ralph, Hodges, &amp; Patterson, 2001)</w:t>
      </w:r>
      <w:r>
        <w:t xml:space="preserve">, cue validity</w:t>
      </w:r>
      <w:r>
        <w:t xml:space="preserve"> </w:t>
      </w:r>
      <w:r>
        <w:t xml:space="preserve">(Rosch &amp; Mervis, 1975)</w:t>
      </w:r>
      <w:r>
        <w:t xml:space="preserve">, relevance</w:t>
      </w:r>
      <w:r>
        <w:t xml:space="preserve"> </w:t>
      </w:r>
      <w:r>
        <w:t xml:space="preserve">(Sartori &amp; Lombardi, 2004)</w:t>
      </w:r>
      <w:r>
        <w:t xml:space="preserve">, semantic richness</w:t>
      </w:r>
      <w:r>
        <w:t xml:space="preserve"> </w:t>
      </w:r>
      <w:r>
        <w:t xml:space="preserve">(Pexman, Hargreaves, Siakaluk, Bodner, &amp; Pope, 2008)</w:t>
      </w:r>
      <w:r>
        <w:t xml:space="preserve">, and significance</w:t>
      </w:r>
      <w:r>
        <w:t xml:space="preserve"> </w:t>
      </w:r>
      <w:r>
        <w:t xml:space="preserve">(Montefinese, Ambrosini, Fairfield, &amp; Mammarella, 2014)</w:t>
      </w:r>
      <w:r>
        <w:t xml:space="preserve"> </w:t>
      </w:r>
      <w:r>
        <w:t xml:space="preserve">are distributed across concepts.</w:t>
      </w:r>
    </w:p>
    <w:p>
      <w:pPr>
        <w:pStyle w:val="Textkrper"/>
      </w:pPr>
      <w:r>
        <w:t xml:space="preserve">Efficient ways to collect data online have boosted the availability of large feature listing data sets. These semantic feature norms are now available across different languages: Dutch</w:t>
      </w:r>
      <w:r>
        <w:t xml:space="preserve"> </w:t>
      </w:r>
      <w:r>
        <w:t xml:space="preserve">(Deyne et al., 2008; Ruts et al., 2004)</w:t>
      </w:r>
      <w:r>
        <w:t xml:space="preserve">, English</w:t>
      </w:r>
      <w:r>
        <w:t xml:space="preserve"> </w:t>
      </w:r>
      <w:r>
        <w:t xml:space="preserve">(Buchanan, Holmes, Teasley, &amp; Hutchison, 2013; Buchanan et al., 2019; Devereux, Tyler, Geertzen, &amp; Randall, 2014; Garrard et al., 2001; McRae et al., 2005; Vinson &amp; Vigliocco, 2008)</w:t>
      </w:r>
      <w:r>
        <w:t xml:space="preserve">, German</w:t>
      </w:r>
      <w:r>
        <w:t xml:space="preserve"> </w:t>
      </w:r>
      <w:r>
        <w:t xml:space="preserve">(Kremer &amp; Baroni, 2011)</w:t>
      </w:r>
      <w:r>
        <w:t xml:space="preserve">, Italian</w:t>
      </w:r>
      <w:r>
        <w:t xml:space="preserve"> </w:t>
      </w:r>
      <w:r>
        <w:t xml:space="preserve">(Catricalà et al., 2015; Kremer &amp; Baroni, 2011; Montefinese, Ambrosini, Fairfield, &amp; Mammarella, 2013; Zannino et al., 2006b)</w:t>
      </w:r>
      <w:r>
        <w:t xml:space="preserve">, Portuguese</w:t>
      </w:r>
      <w:r>
        <w:t xml:space="preserve"> </w:t>
      </w:r>
      <w:r>
        <w:t xml:space="preserve">(Marques, Fonseca, Morais, &amp; Pinto, 2007)</w:t>
      </w:r>
      <w:r>
        <w:t xml:space="preserve">, and Spanish</w:t>
      </w:r>
      <w:r>
        <w:t xml:space="preserve"> </w:t>
      </w:r>
      <w:r>
        <w:t xml:space="preserve">(Vivas, Vivas, Comesaña, Coni, &amp; Vorano, 2017)</w:t>
      </w:r>
      <w:r>
        <w:t xml:space="preserve"> </w:t>
      </w:r>
      <w:r>
        <w:t xml:space="preserve">as well as for blind participants</w:t>
      </w:r>
      <w:r>
        <w:t xml:space="preserve"> </w:t>
      </w:r>
      <w:r>
        <w:t xml:space="preserve">(Lenci, Baroni, Cazzolli, &amp; Marotta, 2013)</w:t>
      </w:r>
      <w:r>
        <w:t xml:space="preserve">. However, these norms vary substantially in the procedure of data collection and their pre-processing, and this does not facilitate performing cross-language comparisons and, thus, making inferences about how semantic representations are generalizable across languages.</w:t>
      </w:r>
    </w:p>
    <w:p>
      <w:pPr>
        <w:pStyle w:val="Textkrper"/>
      </w:pPr>
      <w:r>
        <w:t xml:space="preserve">First, there is a lack of agreement in the instructions provided to the participants. Indeed, while some studies use an open-ended verbal feature production</w:t>
      </w:r>
      <w:r>
        <w:t xml:space="preserve"> </w:t>
      </w:r>
      <w:r>
        <w:t xml:space="preserve">(Buchanan et al., 2013, 2019; Deyne et al., 2008; Montefinese et al., 2013)</w:t>
      </w:r>
      <w:r>
        <w:t xml:space="preserve"> </w:t>
      </w:r>
      <w:r>
        <w:t xml:space="preserve">where participants can list the features related to the concept with any kind of semantic relation, other studies use a constrained verbal feature production</w:t>
      </w:r>
      <w:r>
        <w:t xml:space="preserve"> </w:t>
      </w:r>
      <w:r>
        <w:t xml:space="preserve">(Devereux et al., 2014; Garrard et al., 2001)</w:t>
      </w:r>
      <w:r>
        <w:t xml:space="preserve"> </w:t>
      </w:r>
      <w:r>
        <w:t xml:space="preserve">where participants were instructed to use specific semantic relations between cue concept and features, such as, for example, &lt;</w:t>
      </w:r>
      <w:r>
        <w:rPr>
          <w:i/>
        </w:rPr>
        <w:t xml:space="preserve">is …</w:t>
      </w:r>
      <w:r>
        <w:t xml:space="preserve">&gt;, &lt;</w:t>
      </w:r>
      <w:r>
        <w:rPr>
          <w:i/>
        </w:rPr>
        <w:t xml:space="preserve">has …</w:t>
      </w:r>
      <w:r>
        <w:t xml:space="preserve">&gt;, &lt;</w:t>
      </w:r>
      <w:r>
        <w:rPr>
          <w:i/>
        </w:rPr>
        <w:t xml:space="preserve">does …</w:t>
      </w:r>
      <w:r>
        <w:t xml:space="preserve">&gt;, &lt;</w:t>
      </w:r>
      <w:r>
        <w:rPr>
          <w:i/>
        </w:rPr>
        <w:t xml:space="preserve">made of …</w:t>
      </w:r>
      <w:r>
        <w:t xml:space="preserve">&gt;, and so forth. Moreover, some authors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 xml:space="preserve">has four wheels</w:t>
      </w:r>
      <w:r>
        <w:t xml:space="preserve">&gt; for the concept CAR, there is no consensus if this feature should be divided into &lt;</w:t>
      </w:r>
      <w:r>
        <w:rPr>
          <w:i/>
        </w:rPr>
        <w:t xml:space="preserve">has wheels</w:t>
      </w:r>
      <w:r>
        <w:t xml:space="preserve">&gt; and &lt;</w:t>
      </w:r>
      <w:r>
        <w:rPr>
          <w:i/>
        </w:rPr>
        <w:t xml:space="preserve">has four wheels</w:t>
      </w:r>
      <w:r>
        <w:t xml:space="preserve">&gt;, under the assumption that the participant provided two bits of information, or rather if it should be considered as a unique feature. Second, some authors gave a time limit to provide the features descriptions</w:t>
      </w:r>
      <w:r>
        <w:t xml:space="preserve"> </w:t>
      </w:r>
      <w:r>
        <w:t xml:space="preserve">(Kremer &amp; Baroni, 2011; Lenci et al., 2013; Marques et al., 2007)</w:t>
      </w:r>
      <w:r>
        <w:t xml:space="preserve"> </w:t>
      </w:r>
      <w:r>
        <w:t xml:space="preserve">or a limited number of features to be listed</w:t>
      </w:r>
      <w:r>
        <w:t xml:space="preserve"> </w:t>
      </w:r>
      <w:r>
        <w:t xml:space="preserve">(Deyne et al., 2008)</w:t>
      </w:r>
      <w:r>
        <w:t xml:space="preserve">, with a possible influence on a number of feature-based measures (e.g., semantic richness or distinctiveness).</w:t>
      </w:r>
    </w:p>
    <w:p>
      <w:pPr>
        <w:pStyle w:val="Textkrper"/>
      </w:pPr>
      <w:r>
        <w:t xml:space="preserve">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w:t>
      </w:r>
      <w:r>
        <w:t xml:space="preserve"> </w:t>
      </w:r>
      <w:r>
        <w:t xml:space="preserve">(McRae et al., 2005)</w:t>
      </w:r>
      <w:r>
        <w:t xml:space="preserve"> </w:t>
      </w:r>
      <w:r>
        <w:t xml:space="preserve">whereas others use semi-automatic procedures, especially for larger datasets</w:t>
      </w:r>
      <w:r>
        <w:t xml:space="preserve"> </w:t>
      </w:r>
      <w:r>
        <w:t xml:space="preserve">(Buchanan et al., 2019)</w:t>
      </w:r>
      <w:r>
        <w:t xml:space="preserve">. Further points of debate are related to the inclusion/exclusion of certain types of responses. For example, unlike previous semantic norms</w:t>
      </w:r>
      <w:r>
        <w:t xml:space="preserve"> </w:t>
      </w:r>
      <w:r>
        <w:t xml:space="preserve">(McRae et al., 2005; Montefinese et al., 2013; Vivas et al., 2017)</w:t>
      </w:r>
      <w:r>
        <w:t xml:space="preserve">,</w:t>
      </w:r>
      <w:r>
        <w:t xml:space="preserve"> </w:t>
      </w:r>
      <w:r>
        <w:t xml:space="preserve">Buchanan et al. (2019)</w:t>
      </w:r>
      <w:r>
        <w:t xml:space="preserve"> </w:t>
      </w:r>
      <w:r>
        <w:t xml:space="preserve">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pPr>
        <w:pStyle w:val="Textkrper"/>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task. The next sections provide a tutorial on how raw feature data might be processed to a more compact feature output. The tutorial is written for</w:t>
      </w:r>
      <w:r>
        <w:t xml:space="preserve"> </w:t>
      </w:r>
      <w:r>
        <w:rPr>
          <w:i/>
        </w:rPr>
        <w:t xml:space="preserve">R</w:t>
      </w:r>
      <w:r>
        <w:t xml:space="preserve"> </w:t>
      </w:r>
      <w:r>
        <w:t xml:space="preserve">and is fully documented, such that users can adapt it to their language of choice (</w:t>
      </w:r>
      <w:hyperlink r:id="rId23">
        <w:r>
          <w:rPr>
            <w:rStyle w:val="Hyperlink"/>
          </w:rPr>
          <w:t xml:space="preserve">https://github.com/doomlab/FLT-Primer</w:t>
        </w:r>
      </w:hyperlink>
      <w:r>
        <w:t xml:space="preserve">).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evaluated and compared to previous norms to determine the usefulness of this approach.</w:t>
      </w:r>
    </w:p>
    <w:p>
      <w:pPr>
        <w:pStyle w:val="CaptionedFigure"/>
      </w:pPr>
      <w:r>
        <w:drawing>
          <wp:inline>
            <wp:extent cx="5969000" cy="1617553"/>
            <wp:effectExtent b="0" l="0" r="0" t="0"/>
            <wp:docPr descr="Figure 1: Flow chart illustrating how feature list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4"/>
                    <a:stretch>
                      <a:fillRect/>
                    </a:stretch>
                  </pic:blipFill>
                  <pic:spPr bwMode="auto">
                    <a:xfrm>
                      <a:off x="0" y="0"/>
                      <a:ext cx="5969000" cy="1617553"/>
                    </a:xfrm>
                    <a:prstGeom prst="rect">
                      <a:avLst/>
                    </a:prstGeom>
                    <a:noFill/>
                    <a:ln w="9525">
                      <a:noFill/>
                      <a:headEnd/>
                      <a:tailEnd/>
                    </a:ln>
                  </pic:spPr>
                </pic:pic>
              </a:graphicData>
            </a:graphic>
          </wp:inline>
        </w:drawing>
      </w:r>
    </w:p>
    <w:p>
      <w:pPr>
        <w:pStyle w:val="ImageCaption"/>
      </w:pPr>
      <w:r>
        <w:t xml:space="preserve">Figure 1: Flow chart illustrating how feature lists are recoded to obtain a standard feature format.</w:t>
      </w:r>
    </w:p>
    <w:p>
      <w:pPr>
        <w:pStyle w:val="berschrift2"/>
      </w:pPr>
      <w:bookmarkStart w:id="25" w:name="materials-and-data-format"/>
      <w:r>
        <w:t xml:space="preserve">Materials and Data Format</w:t>
      </w:r>
      <w:bookmarkEnd w:id="25"/>
    </w:p>
    <w:p>
      <w:pPr>
        <w:pStyle w:val="FirstParagraph"/>
      </w:pPr>
      <w:r>
        <w:t xml:space="preserve">You can load the entire set of libraries for this tutorial as shown below using</w:t>
      </w:r>
      <w:r>
        <w:t xml:space="preserve"> </w:t>
      </w:r>
      <w:r>
        <w:rPr>
          <w:rStyle w:val="VerbatimChar"/>
        </w:rPr>
        <w:t xml:space="preserve">dependencies.R</w:t>
      </w:r>
      <w:r>
        <w:t xml:space="preserve"> </w:t>
      </w:r>
      <w:r>
        <w:t xml:space="preserve">found online</w:t>
      </w:r>
      <w:r>
        <w:rPr>
          <w:rStyle w:val="Funotenzeichen"/>
        </w:rPr>
        <w:footnoteReference w:id="26"/>
      </w:r>
      <w:r>
        <w:t xml:space="preserve">.</w:t>
      </w:r>
    </w:p>
    <w:p>
      <w:pPr>
        <w:pStyle w:val="SourceCode"/>
      </w:pP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(dplyr)</w:t>
      </w:r>
      <w:r>
        <w:br w:type="textWrapping"/>
      </w:r>
      <w:r>
        <w:rPr>
          <w:rStyle w:val="CommentTok"/>
        </w:rPr>
        <w:t xml:space="preserve">#Spelling</w:t>
      </w:r>
      <w:r>
        <w:br w:type="textWrapping"/>
      </w:r>
      <w:r>
        <w:rPr>
          <w:rStyle w:val="KeywordTok"/>
        </w:rPr>
        <w:t xml:space="preserve">library</w:t>
      </w:r>
      <w:r>
        <w:rPr>
          <w:rStyle w:val="NormalTok"/>
        </w:rPr>
        <w:t xml:space="preserve">(hunspell)</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(stringi)</w:t>
      </w:r>
      <w:r>
        <w:br w:type="textWrapping"/>
      </w:r>
      <w:r>
        <w:rPr>
          <w:rStyle w:val="CommentTok"/>
        </w:rPr>
        <w:t xml:space="preserve">#Lemmatization</w:t>
      </w:r>
      <w:r>
        <w:br w:type="textWrapping"/>
      </w:r>
      <w:r>
        <w:rPr>
          <w:rStyle w:val="KeywordTok"/>
        </w:rPr>
        <w:t xml:space="preserve">library</w:t>
      </w:r>
      <w:r>
        <w:rPr>
          <w:rStyle w:val="NormalTok"/>
        </w:rPr>
        <w:t xml:space="preserve">(koRpus) </w:t>
      </w:r>
      <w:r>
        <w:br w:type="textWrapping"/>
      </w:r>
      <w:r>
        <w:rPr>
          <w:rStyle w:val="KeywordTok"/>
        </w:rPr>
        <w:t xml:space="preserve">library</w:t>
      </w:r>
      <w:r>
        <w:rPr>
          <w:rStyle w:val="NormalTok"/>
        </w:rPr>
        <w:t xml:space="preserve">(koRpus.lang.en)</w:t>
      </w:r>
      <w:r>
        <w:br w:type="textWrapping"/>
      </w:r>
      <w:r>
        <w:rPr>
          <w:rStyle w:val="KeywordTok"/>
        </w:rPr>
        <w:t xml:space="preserve">library</w:t>
      </w:r>
      <w:r>
        <w:rPr>
          <w:rStyle w:val="NormalTok"/>
        </w:rPr>
        <w:t xml:space="preserve">(tokenizers)</w:t>
      </w:r>
      <w:r>
        <w:br w:type="textWrapping"/>
      </w:r>
      <w:r>
        <w:rPr>
          <w:rStyle w:val="CommentTok"/>
        </w:rPr>
        <w:t xml:space="preserve">#Stopwords</w:t>
      </w:r>
      <w:r>
        <w:br w:type="textWrapping"/>
      </w:r>
      <w:r>
        <w:rPr>
          <w:rStyle w:val="KeywordTok"/>
        </w:rPr>
        <w:t xml:space="preserve">library</w:t>
      </w:r>
      <w:r>
        <w:rPr>
          <w:rStyle w:val="NormalTok"/>
        </w:rPr>
        <w:t xml:space="preserve">(stopwords)</w:t>
      </w:r>
    </w:p>
    <w:p>
      <w:pPr>
        <w:pStyle w:val="FirstParagraph"/>
      </w:pPr>
    </w:p>
    <w:p>
      <w:pPr>
        <w:pStyle w:val="Textkrper"/>
      </w:pPr>
      <w:r>
        <w:t xml:space="preserve">The data can then be imported with</w:t>
      </w:r>
      <w:r>
        <w:t xml:space="preserve"> </w:t>
      </w:r>
      <w:r>
        <w:rPr>
          <w:rStyle w:val="VerbatimChar"/>
        </w:rPr>
        <w:t xml:space="preserve">importData.R</w:t>
      </w:r>
      <w:r>
        <w:t xml:space="preserve">. Additionally, the answers from participants may need to be normalized into lowercase for consistency.</w:t>
      </w:r>
    </w:p>
    <w:p>
      <w:pPr>
        <w:pStyle w:val="SourceCode"/>
      </w:pPr>
      <w:r>
        <w:rPr>
          <w:rStyle w:val="CommentTok"/>
        </w:rPr>
        <w:t xml:space="preserve"># Importing the raw feature lists</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"../raw_data/tidy_words.csv"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Lower case to normalize</w:t>
      </w:r>
      <w:r>
        <w:br w:type="textWrapping"/>
      </w:r>
      <w:r>
        <w:rPr>
          <w:rStyle w:val="NormalTok"/>
        </w:rPr>
        <w:t xml:space="preserve">X</w:t>
      </w:r>
      <w:r>
        <w:rPr>
          <w:rStyle w:val="OperatorTok"/>
        </w:rPr>
        <w:t xml:space="preserve">$</w:t>
      </w:r>
      <w:r>
        <w:rPr>
          <w:rStyle w:val="NormalTok"/>
        </w:rPr>
        <w:t xml:space="preserve">feature_response &lt;-</w:t>
      </w:r>
      <w:r>
        <w:rPr>
          <w:rStyle w:val="StringTok"/>
        </w:rPr>
        <w:t xml:space="preserve"> </w:t>
      </w:r>
      <w:r>
        <w:rPr>
          <w:rStyle w:val="KeywordTok"/>
        </w:rPr>
        <w:t xml:space="preserve">tolower</w:t>
      </w:r>
      <w:r>
        <w:rPr>
          <w:rStyle w:val="NormalTok"/>
        </w:rPr>
        <w:t xml:space="preserve">(X</w:t>
      </w:r>
      <w:r>
        <w:rPr>
          <w:rStyle w:val="OperatorTok"/>
        </w:rPr>
        <w:t xml:space="preserve">$</w:t>
      </w:r>
      <w:r>
        <w:rPr>
          <w:rStyle w:val="NormalTok"/>
        </w:rPr>
        <w:t xml:space="preserve">feature_response)</w:t>
      </w:r>
    </w:p>
    <w:p>
      <w:pPr>
        <w:pStyle w:val="FirstParagraph"/>
      </w:pPr>
    </w:p>
    <w:p>
      <w:pPr>
        <w:pStyle w:val="Textkrper"/>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 concreteness ratings capture the difference between abstract (language-based) and concrete (experience-based) concepts and were measured on a five-point scale.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feature listing data consist of a text file where concept-feature observation is a row and each column is a variable. An example of these raw data are shown in Table</w:t>
      </w:r>
      <w:r>
        <w:t xml:space="preserve"> </w:t>
      </w:r>
      <w:r>
        <w:t xml:space="preserve">??</w:t>
      </w:r>
      <w:r>
        <w:t xml:space="preserve">, where the</w:t>
      </w:r>
      <w:r>
        <w:t xml:space="preserve"> </w:t>
      </w:r>
      <w:r>
        <w:rPr>
          <w:rStyle w:val="VerbatimChar"/>
        </w:rPr>
        <w:t xml:space="preserve">cue</w:t>
      </w:r>
      <w:r>
        <w:t xml:space="preserve"> </w:t>
      </w:r>
      <w:r>
        <w:t xml:space="preserve">column is the cue, and the</w:t>
      </w:r>
      <w:r>
        <w:t xml:space="preserve"> </w:t>
      </w:r>
      <w:r>
        <w:rPr>
          <w:rStyle w:val="VerbatimChar"/>
        </w:rPr>
        <w:t xml:space="preserve">feature_response</w:t>
      </w:r>
      <w:r>
        <w:t xml:space="preserve"> </w:t>
      </w:r>
      <w:r>
        <w:t xml:space="preserve">column denotes a single participant’s response. The original data can be found at</w:t>
      </w:r>
      <w:r>
        <w:t xml:space="preserve"> </w:t>
      </w:r>
      <w:hyperlink r:id="rId27">
        <w:r>
          <w:rPr>
            <w:rStyle w:val="Hyperlink"/>
          </w:rPr>
          <w:t xml:space="preserve">https://osf.io/cjyzw/</w:t>
        </w:r>
      </w:hyperlink>
      <w:r>
        <w:t xml:space="preserve">.</w:t>
      </w:r>
    </w:p>
    <w:p>
      <w:pPr>
        <w:pStyle w:val="Textkrper"/>
      </w:pPr>
      <w:r>
        <w:t xml:space="preserve">The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(e.g., asking participants to type one feature on each line), the suggested processing steps are reduced.</w:t>
      </w:r>
    </w:p>
    <w:p>
      <w:pPr>
        <w:pStyle w:val="berschrift2"/>
      </w:pPr>
      <w:bookmarkStart w:id="28" w:name="spelling"/>
      <w:r>
        <w:t xml:space="preserve">Spelling</w:t>
      </w:r>
      <w:bookmarkEnd w:id="28"/>
    </w:p>
    <w:p>
      <w:pPr>
        <w:pStyle w:val="FirstParagraph"/>
      </w:pPr>
      <w:r>
        <w:t xml:space="preserve">The first step (see Figure</w:t>
      </w:r>
      <w:r>
        <w:t xml:space="preserve"> </w:t>
      </w:r>
      <w:r>
        <w:t xml:space="preserve">1</w:t>
      </w:r>
      <w:r>
        <w:t xml:space="preserve">) in processing the features consists of identifying and replacing spelling mistakes. 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t>
      </w:r>
      <w:r>
        <w:t xml:space="preserve">using</w:t>
      </w:r>
      <w:r>
        <w:t xml:space="preserve"> </w:t>
      </w:r>
      <w:r>
        <w:rPr>
          <w:rStyle w:val="VerbatimChar"/>
        </w:rPr>
        <w:t xml:space="preserve">spellCheck.R</w:t>
      </w:r>
      <w:r>
        <w:t xml:space="preserve">. Each</w:t>
      </w:r>
      <w:r>
        <w:t xml:space="preserve"> </w:t>
      </w:r>
      <w:r>
        <w:rPr>
          <w:rStyle w:val="VerbatimChar"/>
        </w:rPr>
        <w:t xml:space="preserve">feature_response</w:t>
      </w:r>
      <w:r>
        <w:t xml:space="preserve"> </w:t>
      </w:r>
      <w:r>
        <w:t xml:space="preserve">can be checked for misspellings across an entire column of answers, which is in the</w:t>
      </w:r>
      <w:r>
        <w:t xml:space="preserve"> </w:t>
      </w:r>
      <w:r>
        <w:rPr>
          <w:rStyle w:val="VerbatimChar"/>
        </w:rPr>
        <w:t xml:space="preserve">X</w:t>
      </w:r>
      <w:r>
        <w:t xml:space="preserve"> </w:t>
      </w:r>
      <w:r>
        <w:t xml:space="preserve">dataset. Because participants were recruited in the United States, we used the default American English dictionary.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Extract a list of words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rPr>
          <w:rStyle w:val="DataTypeTok"/>
        </w:rPr>
        <w:t xml:space="preserve">input =</w:t>
      </w:r>
      <w:r>
        <w:rPr>
          <w:rStyle w:val="NormalTok"/>
        </w:rPr>
        <w:t xml:space="preserve"> feature_response)</w:t>
      </w:r>
      <w:r>
        <w:br w:type="textWrapping"/>
      </w:r>
      <w:r>
        <w:rPr>
          <w:rStyle w:val="NormalTok"/>
        </w:rPr>
        <w:t xml:space="preserve">wordlist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token)</w:t>
      </w:r>
      <w:r>
        <w:br w:type="textWrapping"/>
      </w:r>
      <w:r>
        <w:rPr>
          <w:rStyle w:val="CommentTok"/>
        </w:rPr>
        <w:t xml:space="preserve"># Spell check the words</w:t>
      </w:r>
      <w:r>
        <w:br w:type="textWrapping"/>
      </w:r>
      <w:r>
        <w:rPr>
          <w:rStyle w:val="NormalTok"/>
        </w:rPr>
        <w:t xml:space="preserve">spelling.errors &lt;-</w:t>
      </w:r>
      <w:r>
        <w:rPr>
          <w:rStyle w:val="StringTok"/>
        </w:rPr>
        <w:t xml:space="preserve"> </w:t>
      </w:r>
      <w:r>
        <w:rPr>
          <w:rStyle w:val="KeywordTok"/>
        </w:rPr>
        <w:t xml:space="preserve">hunspell</w:t>
      </w:r>
      <w:r>
        <w:rPr>
          <w:rStyle w:val="NormalTok"/>
        </w:rPr>
        <w:t xml:space="preserve">(wordlist)</w:t>
      </w:r>
      <w:r>
        <w:br w:type="textWrapping"/>
      </w:r>
      <w:r>
        <w:rPr>
          <w:rStyle w:val="NormalTok"/>
        </w:rPr>
        <w:t xml:space="preserve">spelling.errors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(spelling.errors))</w:t>
      </w:r>
      <w:r>
        <w:br w:type="textWrapping"/>
      </w:r>
      <w:r>
        <w:rPr>
          <w:rStyle w:val="NormalTok"/>
        </w:rPr>
        <w:t xml:space="preserve">spelling.sugg &lt;-</w:t>
      </w:r>
      <w:r>
        <w:rPr>
          <w:rStyle w:val="StringTok"/>
        </w:rPr>
        <w:t xml:space="preserve"> </w:t>
      </w:r>
      <w:r>
        <w:rPr>
          <w:rStyle w:val="KeywordTok"/>
        </w:rPr>
        <w:t xml:space="preserve">hunspell_suggest</w:t>
      </w:r>
      <w:r>
        <w:rPr>
          <w:rStyle w:val="NormalTok"/>
        </w:rPr>
        <w:t xml:space="preserve">(spelling.errors,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 APPLE, a participant wrote &lt;</w:t>
      </w:r>
      <w:r>
        <w:rPr>
          <w:i/>
        </w:rPr>
        <w:t xml:space="preserve">fruit, grocery store, orchard, red, green, yelloe, good with peanut butter, good with caramell</w:t>
      </w:r>
      <w:r>
        <w:t xml:space="preserve">&gt;, and the spelling errors were denoted as &lt;</w:t>
      </w:r>
      <w:r>
        <w:rPr>
          <w:i/>
        </w:rPr>
        <w:t xml:space="preserve">yelloe</w:t>
      </w:r>
      <w:r>
        <w:t xml:space="preserve">&gt; and &lt;</w:t>
      </w:r>
      <w:r>
        <w:rPr>
          <w:i/>
        </w:rPr>
        <w:t xml:space="preserve">caramell</w:t>
      </w:r>
      <w:r>
        <w:t xml:space="preserve">&gt;. After checking for errors, the</w:t>
      </w:r>
      <w:r>
        <w:t xml:space="preserve"> </w:t>
      </w:r>
      <w:r>
        <w:rPr>
          <w:rStyle w:val="VerbatimChar"/>
        </w:rPr>
        <w:t xml:space="preserve">hunspell_suggest()</w:t>
      </w:r>
      <w:r>
        <w:t xml:space="preserve"> </w:t>
      </w:r>
      <w:r>
        <w:t xml:space="preserve">function was used to determine the most likely replacement for each error. For &lt;</w:t>
      </w:r>
      <w:r>
        <w:rPr>
          <w:i/>
        </w:rPr>
        <w:t xml:space="preserve">yelloe</w:t>
      </w:r>
      <w:r>
        <w:t xml:space="preserve">&gt;, both &lt;</w:t>
      </w:r>
      <w:r>
        <w:rPr>
          <w:i/>
        </w:rPr>
        <w:t xml:space="preserve">yellow</w:t>
      </w:r>
      <w:r>
        <w:t xml:space="preserve">&gt; and &lt;</w:t>
      </w:r>
      <w:r>
        <w:rPr>
          <w:i/>
        </w:rPr>
        <w:t xml:space="preserve">yell</w:t>
      </w:r>
      <w:r>
        <w:t xml:space="preserve">&gt; were suggested, and &lt;</w:t>
      </w:r>
      <w:r>
        <w:rPr>
          <w:i/>
        </w:rPr>
        <w:t xml:space="preserve">caramel</w:t>
      </w:r>
      <w:r>
        <w:t xml:space="preserve">&gt; and &lt;</w:t>
      </w:r>
      <w:r>
        <w:rPr>
          <w:i/>
        </w:rPr>
        <w:t xml:space="preserve">camel</w:t>
      </w:r>
      <w:r>
        <w:t xml:space="preserve">&gt; were suggested for &lt;</w:t>
      </w:r>
      <w:r>
        <w:rPr>
          <w:i/>
        </w:rPr>
        <w:t xml:space="preserve">caramell</w:t>
      </w:r>
      <w:r>
        <w:t xml:space="preserve">&gt;.</w:t>
      </w:r>
    </w:p>
    <w:p>
      <w:pPr>
        <w:pStyle w:val="Textkrper"/>
      </w:pPr>
      <w:r>
        <w:t xml:space="preserve">Answers are provided in the most probable order, therefore, the first suggestion is selected as the correct answer. These answers are compiled into a spelling dictionary, which is saved for reproducibility. In addition to the hunspell dictionary, an auxiliary dictionary with pre-coded error responses and corrections could also be added at this stage to catch any false positives by adding entries to the</w:t>
      </w:r>
      <w:r>
        <w:t xml:space="preserve"> </w:t>
      </w:r>
      <w:r>
        <w:rPr>
          <w:rStyle w:val="VerbatimChar"/>
        </w:rPr>
        <w:t xml:space="preserve">spelling.dict</w:t>
      </w:r>
      <w:r>
        <w:t xml:space="preserv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Pick the first suggestion</w:t>
      </w:r>
      <w:r>
        <w:br w:type="textWrapping"/>
      </w:r>
      <w:r>
        <w:rPr>
          <w:rStyle w:val="NormalTok"/>
        </w:rPr>
        <w:t xml:space="preserve">spelling.sugg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(spelling.sugg,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spelling.dict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(spelling.errors,spelling.sugg))</w:t>
      </w:r>
      <w:r>
        <w:br w:type="textWrapping"/>
      </w:r>
      <w:r>
        <w:rPr>
          <w:rStyle w:val="NormalTok"/>
        </w:rPr>
        <w:t xml:space="preserve">spelling.dict</w:t>
      </w:r>
      <w:r>
        <w:rPr>
          <w:rStyle w:val="OperatorTok"/>
        </w:rPr>
        <w:t xml:space="preserve">$</w:t>
      </w:r>
      <w:r>
        <w:rPr>
          <w:rStyle w:val="NormalTok"/>
        </w:rPr>
        <w:t xml:space="preserve">spelling.pattern &lt;-</w:t>
      </w:r>
      <w:r>
        <w:rPr>
          <w:rStyle w:val="StringTok"/>
        </w:rPr>
        <w:t xml:space="preserve"> </w:t>
      </w:r>
      <w:r>
        <w:rPr>
          <w:rStyle w:val="KeywordTok"/>
        </w:rPr>
        <w:t xml:space="preserve">paste0</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spelling.dict</w:t>
      </w:r>
      <w:r>
        <w:rPr>
          <w:rStyle w:val="OperatorTok"/>
        </w:rPr>
        <w:t xml:space="preserve">$</w:t>
      </w:r>
      <w:r>
        <w:rPr>
          <w:rStyle w:val="NormalTok"/>
        </w:rPr>
        <w:t xml:space="preserve">spelling.errors, </w:t>
      </w:r>
      <w:r>
        <w:rPr>
          <w:rStyle w:val="StringTok"/>
        </w:rPr>
        <w:t xml:space="preserve">"</w:t>
      </w:r>
      <w:r>
        <w:rPr>
          <w:rStyle w:val="CharTok"/>
        </w:rPr>
        <w:t xml:space="preserve">\\</w:t>
      </w:r>
      <w:r>
        <w:rPr>
          <w:rStyle w:val="StringTok"/>
        </w:rPr>
        <w:t xml:space="preserve">b"</w:t>
      </w:r>
      <w:r>
        <w:rPr>
          <w:rStyle w:val="NormalTok"/>
        </w:rPr>
        <w:t xml:space="preserve">)</w:t>
      </w:r>
      <w:r>
        <w:br w:type="textWrapping"/>
      </w:r>
      <w:r>
        <w:rPr>
          <w:rStyle w:val="CommentTok"/>
        </w:rPr>
        <w:t xml:space="preserve"># Write out spelling dictionary</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spelling.dict, </w:t>
      </w:r>
      <w:r>
        <w:rPr>
          <w:rStyle w:val="DataTypeTok"/>
        </w:rPr>
        <w:t xml:space="preserve">file =</w:t>
      </w:r>
      <w:r>
        <w:rPr>
          <w:rStyle w:val="NormalTok"/>
        </w:rPr>
        <w:t xml:space="preserve"> </w:t>
      </w:r>
      <w:r>
        <w:rPr>
          <w:rStyle w:val="StringTok"/>
        </w:rPr>
        <w:t xml:space="preserve">"../output_data/spelling.dict.csv"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As noted, data was collected with a large text box, allowing participants to free respond to the target cue. Participants often used extra spacing, tabs or other punctuation to denote separate answers to the cue. The</w:t>
      </w:r>
      <w:r>
        <w:t xml:space="preserve"> </w:t>
      </w:r>
      <w:r>
        <w:rPr>
          <w:rStyle w:val="VerbatimChar"/>
        </w:rPr>
        <w:t xml:space="preserve">unnest_tokens()</w:t>
      </w:r>
      <w:r>
        <w:t xml:space="preserve"> </w:t>
      </w:r>
      <w:r>
        <w:t xml:space="preserve">function from</w:t>
      </w:r>
      <w:r>
        <w:t xml:space="preserve"> </w:t>
      </w:r>
      <w:r>
        <w:rPr>
          <w:rStyle w:val="VerbatimChar"/>
        </w:rPr>
        <w:t xml:space="preserve">tidytext</w:t>
      </w:r>
      <w:r>
        <w:t xml:space="preserve"> </w:t>
      </w:r>
      <w:r>
        <w:t xml:space="preserve">can be used to split their answers into separate response lines and</w:t>
      </w:r>
      <w:r>
        <w:t xml:space="preserve"> </w:t>
      </w:r>
      <w:r>
        <w:rPr>
          <w:rStyle w:val="VerbatimChar"/>
        </w:rPr>
        <w:t xml:space="preserve">trimws()</w:t>
      </w:r>
      <w:r>
        <w:t xml:space="preserve"> </w:t>
      </w:r>
      <w:r>
        <w:t xml:space="preserve">to remove all extra white spaces</w:t>
      </w:r>
      <w:r>
        <w:t xml:space="preserve"> </w:t>
      </w:r>
      <w:r>
        <w:t xml:space="preserve">(De Queiroz et al., 2019)</w:t>
      </w:r>
      <w:r>
        <w:t xml:space="preserve">.</w:t>
      </w:r>
    </w:p>
    <w:p>
      <w:pPr>
        <w:pStyle w:val="SourceCode"/>
      </w:pPr>
      <w:r>
        <w:rPr>
          <w:rStyle w:val="CommentTok"/>
        </w:rPr>
        <w:t xml:space="preserve"># Parse features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br w:type="textWrapping"/>
      </w:r>
      <w:r>
        <w:rPr>
          <w:rStyle w:val="NormalTok"/>
        </w:rPr>
        <w:t xml:space="preserve">                        </w:t>
      </w:r>
      <w:r>
        <w:rPr>
          <w:rStyle w:val="DataTypeTok"/>
        </w:rPr>
        <w:t xml:space="preserve">input =</w:t>
      </w:r>
      <w:r>
        <w:rPr>
          <w:rStyle w:val="NormalTok"/>
        </w:rPr>
        <w:t xml:space="preserve"> answer, </w:t>
      </w:r>
      <w:r>
        <w:rPr>
          <w:rStyle w:val="DataTypeTok"/>
        </w:rPr>
        <w:t xml:space="preserve">token =</w:t>
      </w:r>
      <w:r>
        <w:rPr>
          <w:rStyle w:val="NormalTok"/>
        </w:rPr>
        <w:t xml:space="preserve"> stringr</w:t>
      </w:r>
      <w:r>
        <w:rPr>
          <w:rStyle w:val="OperatorTok"/>
        </w:rPr>
        <w:t xml:space="preserve">::</w:t>
      </w:r>
      <w:r>
        <w:rPr>
          <w:rStyle w:val="NormalTok"/>
        </w:rPr>
        <w:t xml:space="preserve">str_split,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  |</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tokens</w:t>
      </w:r>
      <w:r>
        <w:rPr>
          <w:rStyle w:val="OperatorTok"/>
        </w:rPr>
        <w:t xml:space="preserve">$</w:t>
      </w:r>
      <w:r>
        <w:rPr>
          <w:rStyle w:val="NormalTok"/>
        </w:rPr>
        <w:t xml:space="preserve">token &lt;-</w:t>
      </w:r>
      <w:r>
        <w:rPr>
          <w:rStyle w:val="StringTok"/>
        </w:rPr>
        <w:t xml:space="preserve"> </w:t>
      </w:r>
      <w:r>
        <w:rPr>
          <w:rStyle w:val="KeywordTok"/>
        </w:rPr>
        <w:t xml:space="preserve">trimws</w:t>
      </w:r>
      <w:r>
        <w:rPr>
          <w:rStyle w:val="NormalTok"/>
        </w:rPr>
        <w:t xml:space="preserve">(tokens</w:t>
      </w:r>
      <w:r>
        <w:rPr>
          <w:rStyle w:val="OperatorTok"/>
        </w:rPr>
        <w:t xml:space="preserve">$</w:t>
      </w:r>
      <w:r>
        <w:rPr>
          <w:rStyle w:val="NormalTok"/>
        </w:rPr>
        <w:t xml:space="preserve">token, </w:t>
      </w:r>
      <w:r>
        <w:br w:type="textWrapping"/>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 </w:t>
      </w:r>
      <w:r>
        <w:rPr>
          <w:rStyle w:val="StringTok"/>
        </w:rPr>
        <w:t xml:space="preserve">"left"</w:t>
      </w:r>
      <w:r>
        <w:rPr>
          <w:rStyle w:val="NormalTok"/>
        </w:rPr>
        <w:t xml:space="preserve">, </w:t>
      </w:r>
      <w:r>
        <w:rPr>
          <w:rStyle w:val="StringTok"/>
        </w:rPr>
        <w:t xml:space="preserve">"right"</w:t>
      </w:r>
      <w:r>
        <w:rPr>
          <w:rStyle w:val="NormalTok"/>
        </w:rPr>
        <w:t xml:space="preserve">), </w:t>
      </w:r>
      <w:r>
        <w:br w:type="textWrapping"/>
      </w:r>
      <w:r>
        <w:rPr>
          <w:rStyle w:val="NormalTok"/>
        </w:rPr>
        <w:t xml:space="preserve">                       </w:t>
      </w:r>
      <w:r>
        <w:rPr>
          <w:rStyle w:val="DataTypeTok"/>
        </w:rPr>
        <w:t xml:space="preserve">whitespace =</w:t>
      </w:r>
      <w:r>
        <w:rPr>
          <w:rStyle w:val="NormalTok"/>
        </w:rPr>
        <w:t xml:space="preserve"> </w:t>
      </w:r>
      <w:r>
        <w:rPr>
          <w:rStyle w:val="StringTok"/>
        </w:rPr>
        <w:t xml:space="preserve">"[ </w:t>
      </w:r>
      <w:r>
        <w:rPr>
          <w:rStyle w:val="CharTok"/>
        </w:rPr>
        <w:t xml:space="preserve">\t\r\n</w:t>
      </w:r>
      <w:r>
        <w:rPr>
          <w:rStyle w:val="StringTok"/>
        </w:rPr>
        <w:t xml:space="preserve">]"</w:t>
      </w:r>
      <w:r>
        <w:rPr>
          <w:rStyle w:val="NormalTok"/>
        </w:rPr>
        <w:t xml:space="preserve">)</w:t>
      </w:r>
    </w:p>
    <w:p>
      <w:pPr>
        <w:pStyle w:val="FirstParagraph"/>
      </w:pPr>
    </w:p>
    <w:p>
      <w:pPr>
        <w:pStyle w:val="Textkrper"/>
      </w:pPr>
      <w:r>
        <w:t xml:space="preserve">To finalize our data cleaning, we can remove blank lines, and use</w:t>
      </w:r>
      <w:r>
        <w:t xml:space="preserve"> </w:t>
      </w:r>
      <w:r>
        <w:rPr>
          <w:rStyle w:val="VerbatimChar"/>
        </w:rPr>
        <w:t xml:space="preserve">stri_replace_all_regex()</w:t>
      </w:r>
      <w:r>
        <w:t xml:space="preserve"> </w:t>
      </w:r>
      <w:r>
        <w:t xml:space="preserve">is used to replace the spelling errors with their corrections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The spell checked dataframe is then output to a comma delimited file to preserve each workflow step.</w:t>
      </w:r>
    </w:p>
    <w:p>
      <w:pPr>
        <w:pStyle w:val="SourceCode"/>
      </w:pPr>
      <w:r>
        <w:rPr>
          <w:rStyle w:val="CommentTok"/>
        </w:rPr>
        <w:t xml:space="preserve"># Remove empty features</w:t>
      </w:r>
      <w:r>
        <w:br w:type="textWrapping"/>
      </w:r>
      <w:r>
        <w:rPr>
          <w:rStyle w:val="NormalTok"/>
        </w:rPr>
        <w:t xml:space="preserve">tokens &lt;-</w:t>
      </w:r>
      <w:r>
        <w:rPr>
          <w:rStyle w:val="StringTok"/>
        </w:rPr>
        <w:t xml:space="preserve"> </w:t>
      </w:r>
      <w:r>
        <w:rPr>
          <w:rStyle w:val="NormalTok"/>
        </w:rPr>
        <w:t xml:space="preserve">tokens[</w:t>
      </w:r>
      <w:r>
        <w:rPr>
          <w:rStyle w:val="OperatorTok"/>
        </w:rPr>
        <w:t xml:space="preserve">!</w:t>
      </w:r>
      <w:r>
        <w:rPr>
          <w:rStyle w:val="NormalTok"/>
        </w:rPr>
        <w:t xml:space="preserve">tokens</w:t>
      </w:r>
      <w:r>
        <w:rPr>
          <w:rStyle w:val="OperatorTok"/>
        </w:rPr>
        <w:t xml:space="preserve">$</w:t>
      </w:r>
      <w:r>
        <w:rPr>
          <w:rStyle w:val="NormalTok"/>
        </w:rPr>
        <w:t xml:space="preserve">token </w:t>
      </w:r>
      <w:r>
        <w:rPr>
          <w:rStyle w:val="OperatorTok"/>
        </w:rPr>
        <w:t xml:space="preserve">==</w:t>
      </w:r>
      <w:r>
        <w:rPr>
          <w:rStyle w:val="StringTok"/>
        </w:rPr>
        <w:t xml:space="preserve">""</w:t>
      </w:r>
      <w:r>
        <w:rPr>
          <w:rStyle w:val="NormalTok"/>
        </w:rPr>
        <w:t xml:space="preserve">, ]</w:t>
      </w:r>
      <w:r>
        <w:br w:type="textWrapping"/>
      </w:r>
      <w:r>
        <w:rPr>
          <w:rStyle w:val="NormalTok"/>
        </w:rPr>
        <w:t xml:space="preserve">tokens</w:t>
      </w:r>
      <w:r>
        <w:rPr>
          <w:rStyle w:val="OperatorTok"/>
        </w:rPr>
        <w:t xml:space="preserve">$</w:t>
      </w:r>
      <w:r>
        <w:rPr>
          <w:rStyle w:val="NormalTok"/>
        </w:rPr>
        <w:t xml:space="preserve">corrected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tokens</w:t>
      </w:r>
      <w:r>
        <w:rPr>
          <w:rStyle w:val="OperatorTok"/>
        </w:rPr>
        <w:t xml:space="preserve">$</w:t>
      </w:r>
      <w:r>
        <w:rPr>
          <w:rStyle w:val="NormalTok"/>
        </w:rPr>
        <w:t xml:space="preserve">token,</w:t>
      </w:r>
      <w:r>
        <w:br w:type="textWrapping"/>
      </w:r>
      <w:r>
        <w:rPr>
          <w:rStyle w:val="NormalTok"/>
        </w:rPr>
        <w:t xml:space="preserve">                                          </w:t>
      </w:r>
      <w:r>
        <w:rPr>
          <w:rStyle w:val="DataTypeTok"/>
        </w:rPr>
        <w:t xml:space="preserve">pattern =</w:t>
      </w:r>
      <w:r>
        <w:rPr>
          <w:rStyle w:val="NormalTok"/>
        </w:rPr>
        <w:t xml:space="preserve"> spelling.dict</w:t>
      </w:r>
      <w:r>
        <w:rPr>
          <w:rStyle w:val="OperatorTok"/>
        </w:rPr>
        <w:t xml:space="preserve">$</w:t>
      </w:r>
      <w:r>
        <w:rPr>
          <w:rStyle w:val="NormalTok"/>
        </w:rPr>
        <w:t xml:space="preserve">spelling.pattern,</w:t>
      </w:r>
      <w:r>
        <w:br w:type="textWrapping"/>
      </w:r>
      <w:r>
        <w:rPr>
          <w:rStyle w:val="NormalTok"/>
        </w:rPr>
        <w:t xml:space="preserve">                                          </w:t>
      </w:r>
      <w:r>
        <w:rPr>
          <w:rStyle w:val="DataTypeTok"/>
        </w:rPr>
        <w:t xml:space="preserve">replacement =</w:t>
      </w:r>
      <w:r>
        <w:rPr>
          <w:rStyle w:val="NormalTok"/>
        </w:rPr>
        <w:t xml:space="preserve"> spelling.dict</w:t>
      </w:r>
      <w:r>
        <w:rPr>
          <w:rStyle w:val="OperatorTok"/>
        </w:rPr>
        <w:t xml:space="preserve">$</w:t>
      </w:r>
      <w:r>
        <w:rPr>
          <w:rStyle w:val="NormalTok"/>
        </w:rPr>
        <w:t xml:space="preserve">spelling.sugg,</w:t>
      </w:r>
      <w:r>
        <w:br w:type="textWrapping"/>
      </w:r>
      <w:r>
        <w:rPr>
          <w:rStyle w:val="NormalTok"/>
        </w:rPr>
        <w:t xml:space="preserve">                                          </w:t>
      </w:r>
      <w:r>
        <w:rPr>
          <w:rStyle w:val="DataTypeTok"/>
        </w:rPr>
        <w:t xml:space="preserve">vectorize_all =</w:t>
      </w:r>
      <w:r>
        <w:rPr>
          <w:rStyle w:val="NormalTok"/>
        </w:rPr>
        <w:t xml:space="preserve"> </w:t>
      </w:r>
      <w:r>
        <w:rPr>
          <w:rStyle w:val="OtherTok"/>
        </w:rPr>
        <w:t xml:space="preserve">FALSE</w:t>
      </w:r>
      <w:r>
        <w:rPr>
          <w:rStyle w:val="NormalTok"/>
        </w:rPr>
        <w:t xml:space="preserve">)</w:t>
      </w:r>
      <w:r>
        <w:br w:type="textWrapping"/>
      </w:r>
      <w:r>
        <w:rPr>
          <w:rStyle w:val="CommentTok"/>
        </w:rPr>
        <w:t xml:space="preserve"># Rename columns</w:t>
      </w:r>
      <w:r>
        <w:br w:type="textWrapping"/>
      </w:r>
      <w:r>
        <w:rPr>
          <w:rStyle w:val="NormalTok"/>
        </w:rPr>
        <w:t xml:space="preserve">tokens &lt;-</w:t>
      </w:r>
      <w:r>
        <w:rPr>
          <w:rStyle w:val="StringTok"/>
        </w:rPr>
        <w:t xml:space="preserve"> </w:t>
      </w:r>
      <w:r>
        <w:rPr>
          <w:rStyle w:val="NormalTok"/>
        </w:rPr>
        <w:t xml:space="preserve">tokens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word,</w:t>
      </w:r>
      <w:r>
        <w:rPr>
          <w:rStyle w:val="DataTypeTok"/>
        </w:rPr>
        <w:t xml:space="preserve">feature =</w:t>
      </w:r>
      <w:r>
        <w:rPr>
          <w:rStyle w:val="NormalTok"/>
        </w:rPr>
        <w:t xml:space="preserve"> 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(cue, feature)</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w:t>
      </w:r>
      <w:r>
        <w:rPr>
          <w:rStyle w:val="DataTypeTok"/>
        </w:rPr>
        <w:t xml:space="preserve">file =</w:t>
      </w:r>
      <w:r>
        <w:rPr>
          <w:rStyle w:val="NormalTok"/>
        </w:rPr>
        <w:t xml:space="preserve"> </w:t>
      </w:r>
      <w:r>
        <w:rPr>
          <w:rStyle w:val="StringTok"/>
        </w:rPr>
        <w:t xml:space="preserve">"../output_data/spellchecked.features.csv"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rPr>
          <w:rStyle w:val="DataTypeTok"/>
        </w:rPr>
        <w:t xml:space="preserve">row.names =</w:t>
      </w:r>
      <w:r>
        <w:rPr>
          <w:rStyle w:val="NormalTok"/>
        </w:rPr>
        <w:t xml:space="preserve"> F)</w:t>
      </w:r>
    </w:p>
    <w:p>
      <w:pPr>
        <w:pStyle w:val="FirstParagraph"/>
      </w:pPr>
    </w:p>
    <w:p>
      <w:pPr>
        <w:pStyle w:val="berschrift2"/>
      </w:pPr>
      <w:bookmarkStart w:id="29" w:name="lemmatization"/>
      <w:r>
        <w:t xml:space="preserve">Lemmatization</w:t>
      </w:r>
      <w:bookmarkEnd w:id="29"/>
    </w:p>
    <w:p>
      <w:pPr>
        <w:pStyle w:val="FirstParagraph"/>
      </w:pPr>
      <w:r>
        <w:t xml:space="preserve">The next step groups different word forms that share the same lemma. The process of lemmatizing words uses a trained dictionary to convert all tokens part of a lexeme set (i.e., all words forms that have the same meaning,</w:t>
      </w:r>
      <w:r>
        <w:t xml:space="preserve"> </w:t>
      </w:r>
      <w:r>
        <w:rPr>
          <w:i/>
        </w:rPr>
        <w:t xml:space="preserve">am, are, is</w:t>
      </w:r>
      <w:r>
        <w:t xml:space="preserve">) to a common lemma (i.e.,</w:t>
      </w:r>
      <w:r>
        <w:t xml:space="preserve"> </w:t>
      </w:r>
      <w:r>
        <w:rPr>
          <w:i/>
        </w:rPr>
        <w:t xml:space="preserve">be</w:t>
      </w:r>
      <w:r>
        <w:t xml:space="preserve">)</w:t>
      </w:r>
      <w:r>
        <w:rPr>
          <w:rStyle w:val="Funotenzeichen"/>
        </w:rPr>
        <w:footnoteReference w:id="30"/>
      </w:r>
      <w:r>
        <w:t xml:space="preserve">. Lemmatization is performed using the</w:t>
      </w:r>
      <w:r>
        <w:t xml:space="preserve"> </w:t>
      </w:r>
      <w:r>
        <w:rPr>
          <w:rStyle w:val="VerbatimChar"/>
        </w:rPr>
        <w:t xml:space="preserve">TreeTagger</w:t>
      </w:r>
      <w:r>
        <w:t xml:space="preserve"> </w:t>
      </w:r>
      <w:r>
        <w:t xml:space="preserve">program</w:t>
      </w:r>
      <w:r>
        <w:t xml:space="preserve"> </w:t>
      </w:r>
      <w:r>
        <w:t xml:space="preserve">(Schmid, 1994)</w:t>
      </w:r>
      <w:r>
        <w:t xml:space="preserve"> </w:t>
      </w:r>
      <w:r>
        <w:t xml:space="preserve">and implemented through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We will create a unique set of tokenized words to lemmatize to speed computation, as shown in</w:t>
      </w:r>
      <w:r>
        <w:t xml:space="preserve"> </w:t>
      </w:r>
      <w:r>
        <w:rPr>
          <w:rStyle w:val="VerbatimChar"/>
        </w:rPr>
        <w:t xml:space="preserve">lemmatization.R</w:t>
      </w:r>
      <w:r>
        <w:t xml:space="preserve">.</w:t>
      </w:r>
    </w:p>
    <w:p>
      <w:pPr>
        <w:pStyle w:val="SourceCode"/>
      </w:pPr>
      <w:r>
        <w:rPr>
          <w:rStyle w:val="CommentTok"/>
        </w:rPr>
        <w:t xml:space="preserve"># Open the spell checked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"../output_data/spellchecked.features.csv"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Extract the list of updated tokens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word, </w:t>
      </w:r>
      <w:r>
        <w:rPr>
          <w:rStyle w:val="DataTypeTok"/>
        </w:rPr>
        <w:t xml:space="preserve">input =</w:t>
      </w:r>
      <w:r>
        <w:rPr>
          <w:rStyle w:val="NormalTok"/>
        </w:rPr>
        <w:t xml:space="preserve"> feature)</w:t>
      </w:r>
      <w:r>
        <w:br w:type="textWrapping"/>
      </w:r>
      <w:r>
        <w:rPr>
          <w:rStyle w:val="NormalTok"/>
        </w:rPr>
        <w:t xml:space="preserve">cuelist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cue)</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Create a dataframe for lemmas</w:t>
      </w:r>
      <w:r>
        <w:br w:type="textWrapping"/>
      </w:r>
      <w:r>
        <w:rPr>
          <w:rStyle w:val="NormalTok"/>
        </w:rPr>
        <w:t xml:space="preserve">tokens.tagged &lt;-</w:t>
      </w:r>
      <w:r>
        <w:rPr>
          <w:rStyle w:val="StringTok"/>
        </w:rPr>
        <w:t xml:space="preserve"> </w:t>
      </w:r>
      <w:r>
        <w:rPr>
          <w:rStyle w:val="KeywordTok"/>
        </w:rPr>
        <w:t xml:space="preserve">data.frame</w:t>
      </w:r>
      <w:r>
        <w:rPr>
          <w:rStyle w:val="NormalTok"/>
        </w:rPr>
        <w:t xml:space="preserve">(</w:t>
      </w:r>
      <w:r>
        <w:rPr>
          <w:rStyle w:val="DataTypeTok"/>
        </w:rPr>
        <w:t xml:space="preserve">doc_id=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token=</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wclass=</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lemma=</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 Loop over cues and create lemmas + POS tags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(cuelist)){</w:t>
      </w:r>
      <w:r>
        <w:br w:type="textWrapping"/>
      </w:r>
      <w:r>
        <w:rPr>
          <w:rStyle w:val="NormalTok"/>
        </w:rPr>
        <w:t xml:space="preserve">  temp.tag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(X</w:t>
      </w:r>
      <w:r>
        <w:rPr>
          <w:rStyle w:val="OperatorTok"/>
        </w:rPr>
        <w:t xml:space="preserve">$</w:t>
      </w:r>
      <w:r>
        <w:rPr>
          <w:rStyle w:val="NormalTok"/>
        </w:rPr>
        <w:t xml:space="preserve">feature[X</w:t>
      </w:r>
      <w:r>
        <w:rPr>
          <w:rStyle w:val="OperatorTok"/>
        </w:rPr>
        <w:t xml:space="preserve">$</w:t>
      </w:r>
      <w:r>
        <w:rPr>
          <w:rStyle w:val="NormalTok"/>
        </w:rPr>
        <w:t xml:space="preserve">cue </w:t>
      </w:r>
      <w:r>
        <w:rPr>
          <w:rStyle w:val="OperatorTok"/>
        </w:rPr>
        <w:t xml:space="preserve">==</w:t>
      </w:r>
      <w:r>
        <w:rPr>
          <w:rStyle w:val="StringTok"/>
        </w:rPr>
        <w:t xml:space="preserve"> </w:t>
      </w:r>
      <w:r>
        <w:rPr>
          <w:rStyle w:val="NormalTok"/>
        </w:rPr>
        <w:t xml:space="preserve">cuelist[i]], </w:t>
      </w:r>
      <w:r>
        <w:rPr>
          <w:rStyle w:val="StringTok"/>
        </w:rPr>
        <w:t xml:space="preserve">"NULL"</w:t>
      </w:r>
      <w:r>
        <w:rPr>
          <w:rStyle w:val="NormalTok"/>
        </w:rPr>
        <w:t xml:space="preserve">),</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 </w:t>
      </w:r>
      <w:r>
        <w:rPr>
          <w:rStyle w:val="DataTypeTok"/>
        </w:rPr>
        <w:t xml:space="preserve">doc_id =</w:t>
      </w:r>
      <w:r>
        <w:rPr>
          <w:rStyle w:val="NormalTok"/>
        </w:rPr>
        <w:t xml:space="preserve"> cuelist[i],</w:t>
      </w:r>
      <w:r>
        <w:br w:type="textWrapping"/>
      </w:r>
      <w:r>
        <w:rPr>
          <w:rStyle w:val="NormalTok"/>
        </w:rPr>
        <w:t xml:space="preserve">              </w:t>
      </w:r>
      <w:r>
        <w:rPr>
          <w:rStyle w:val="CommentTok"/>
        </w:rPr>
        <w:t xml:space="preserve"># These parameters are based on your computer</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temp.tag &lt;-</w:t>
      </w:r>
      <w:r>
        <w:rPr>
          <w:rStyle w:val="StringTok"/>
        </w:rPr>
        <w:t xml:space="preserve"> </w:t>
      </w:r>
      <w:r>
        <w:rPr>
          <w:rStyle w:val="NormalTok"/>
        </w:rPr>
        <w:t xml:space="preserve">temp.tag</w:t>
      </w:r>
      <w:r>
        <w:rPr>
          <w:rStyle w:val="OperatorTok"/>
        </w:rPr>
        <w:t xml:space="preserve">@</w:t>
      </w:r>
      <w:r>
        <w:rPr>
          <w:rStyle w:val="NormalTok"/>
        </w:rPr>
        <w:t xml:space="preserve">TT.res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as.character)</w:t>
      </w:r>
      <w:r>
        <w:br w:type="textWrapping"/>
      </w:r>
      <w:r>
        <w:rPr>
          <w:rStyle w:val="NormalTok"/>
        </w:rPr>
        <w:t xml:space="preserve">  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(temp.tag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(doc_id, token, wclass, lemma))</w:t>
      </w:r>
      <w:r>
        <w:br w:type="textWrapping"/>
      </w:r>
      <w:r>
        <w:rPr>
          <w:rStyle w:val="NormalTok"/>
        </w:rPr>
        <w:t xml:space="preserve">  }</w:t>
      </w:r>
    </w:p>
    <w:p>
      <w:pPr>
        <w:pStyle w:val="FirstParagraph"/>
      </w:pPr>
    </w:p>
    <w:p>
      <w:pPr>
        <w:pStyle w:val="Textkrper"/>
      </w:pPr>
      <w:r>
        <w:t xml:space="preserve">This function returns a tagged corpus object, which can be converted into a dataframe of the token-lemma information. TreeTagger will return</w:t>
      </w:r>
      <w:r>
        <w:t xml:space="preserve"> </w:t>
      </w:r>
      <w:r>
        <w:rPr>
          <w:rStyle w:val="VerbatimChar"/>
        </w:rPr>
        <w:t xml:space="preserve">&lt;unknown&gt;</w:t>
      </w:r>
      <w:r>
        <w:t xml:space="preserve"> </w:t>
      </w:r>
      <w:r>
        <w:t xml:space="preserve">for unknown values and</w:t>
      </w:r>
      <w:r>
        <w:t xml:space="preserve"> </w:t>
      </w:r>
      <w:r>
        <w:rPr>
          <w:rStyle w:val="VerbatimChar"/>
        </w:rPr>
        <w:t xml:space="preserve">@card@</w:t>
      </w:r>
      <w:r>
        <w:t xml:space="preserve"> </w:t>
      </w:r>
      <w:r>
        <w:t xml:space="preserve">for numbers, and these values were replaced with the original token. Table</w:t>
      </w:r>
      <w:r>
        <w:t xml:space="preserve"> </w:t>
      </w:r>
      <w:r>
        <w:t xml:space="preserve">??</w:t>
      </w:r>
      <w:r>
        <w:t xml:space="preserve"> </w:t>
      </w:r>
      <w:r>
        <w:t xml:space="preserve">portrays example results from TreeTagger.</w:t>
      </w:r>
    </w:p>
    <w:p>
      <w:pPr>
        <w:pStyle w:val="SourceCode"/>
      </w:pPr>
      <w:r>
        <w:rPr>
          <w:rStyle w:val="NormalTok"/>
        </w:rPr>
        <w:t xml:space="preserve">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doc_id, </w:t>
      </w:r>
      <w:r>
        <w:rPr>
          <w:rStyle w:val="DataTypeTok"/>
        </w:rPr>
        <w:t xml:space="preserve">feature =</w:t>
      </w:r>
      <w:r>
        <w:rPr>
          <w:rStyle w:val="NormalTok"/>
        </w:rPr>
        <w:t xml:space="preserve"> token, </w:t>
      </w:r>
      <w:r>
        <w:rPr>
          <w:rStyle w:val="DataTypeTok"/>
        </w:rPr>
        <w:t xml:space="preserve">pos =</w:t>
      </w:r>
      <w:r>
        <w:rPr>
          <w:rStyle w:val="NormalTok"/>
        </w:rPr>
        <w:t xml:space="preserve"> wclass)</w:t>
      </w:r>
      <w:r>
        <w:br w:type="textWrapping"/>
      </w:r>
      <w:r>
        <w:rPr>
          <w:rStyle w:val="CommentTok"/>
        </w:rPr>
        <w:t xml:space="preserve"># Clean up unknown lookups</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 &lt;-</w:t>
      </w:r>
      <w:r>
        <w:rPr>
          <w:rStyle w:val="StringTok"/>
        </w:rPr>
        <w:t xml:space="preserve"> </w:t>
      </w:r>
      <w:r>
        <w:rPr>
          <w:rStyle w:val="KeywordTok"/>
        </w:rPr>
        <w:t xml:space="preserve">tolower</w:t>
      </w:r>
      <w:r>
        <w:rPr>
          <w:rStyle w:val="NormalTok"/>
        </w:rPr>
        <w:t xml:space="preserve">(tokens.tagged</w:t>
      </w:r>
      <w:r>
        <w:rPr>
          <w:rStyle w:val="OperatorTok"/>
        </w:rPr>
        <w:t xml:space="preserve">$</w:t>
      </w:r>
      <w:r>
        <w:rPr>
          <w:rStyle w:val="NormalTok"/>
        </w:rPr>
        <w:t xml:space="preserve">lemma)</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tokens.tagged, </w:t>
      </w:r>
      <w:r>
        <w:rPr>
          <w:rStyle w:val="DataTypeTok"/>
        </w:rPr>
        <w:t xml:space="preserve">file =</w:t>
      </w:r>
      <w:r>
        <w:rPr>
          <w:rStyle w:val="NormalTok"/>
        </w:rPr>
        <w:t xml:space="preserve"> </w:t>
      </w:r>
      <w:r>
        <w:rPr>
          <w:rStyle w:val="StringTok"/>
        </w:rPr>
        <w:t xml:space="preserve">"../output_data/lemmatized.features.csv"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1" w:name="stopwords"/>
      <w:r>
        <w:t xml:space="preserve">Stopwords</w:t>
      </w:r>
      <w:bookmarkEnd w:id="31"/>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At this stage, the</w:t>
      </w:r>
      <w:r>
        <w:t xml:space="preserve"> </w:t>
      </w:r>
      <w:r>
        <w:rPr>
          <w:rStyle w:val="VerbatimChar"/>
        </w:rPr>
        <w:t xml:space="preserve">feature</w:t>
      </w:r>
      <w:r>
        <w:t xml:space="preserve"> </w:t>
      </w:r>
      <w:r>
        <w:t xml:space="preserve">(original tokens, not lemmatized) or</w:t>
      </w:r>
      <w:r>
        <w:t xml:space="preserve"> </w:t>
      </w:r>
      <w:r>
        <w:rPr>
          <w:rStyle w:val="VerbatimChar"/>
        </w:rPr>
        <w:t xml:space="preserve">lemma</w:t>
      </w:r>
      <w:r>
        <w:t xml:space="preserve"> </w:t>
      </w:r>
      <w:r>
        <w:t xml:space="preserve">(lemmatized tokens) column can be used depending on researcher selection. This code is included in</w:t>
      </w:r>
      <w:r>
        <w:t xml:space="preserve"> </w:t>
      </w:r>
      <w:r>
        <w:rPr>
          <w:rStyle w:val="VerbatimChar"/>
        </w:rPr>
        <w:t xml:space="preserve">stopWordRemoval.R</w:t>
      </w:r>
      <w:r>
        <w:t xml:space="preserve">.</w:t>
      </w:r>
    </w:p>
    <w:p>
      <w:pPr>
        <w:pStyle w:val="SourceCode"/>
      </w:pPr>
      <w:r>
        <w:rPr>
          <w:rStyle w:val="CommentTok"/>
        </w:rPr>
        <w:t xml:space="preserve"># Open the lemmatized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"../output_data/lemmatized.features.csv"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Remove punctuation and stopwords from lemmas</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X</w:t>
      </w:r>
      <w:r>
        <w:rPr>
          <w:rStyle w:val="OperatorTok"/>
        </w:rPr>
        <w:t xml:space="preserve">$</w:t>
      </w:r>
      <w:r>
        <w:rPr>
          <w:rStyle w:val="NormalTok"/>
        </w:rPr>
        <w:t xml:space="preserve">lemma)</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\002</w:t>
      </w:r>
      <w:r>
        <w:rPr>
          <w:rStyle w:val="StringTok"/>
        </w:rPr>
        <w:t xml:space="preserve">"</w:t>
      </w:r>
      <w:r>
        <w:rPr>
          <w:rStyle w:val="NormalTok"/>
        </w:rPr>
        <w:t xml:space="preserve">, </w:t>
      </w:r>
      <w:r>
        <w:rPr>
          <w:rStyle w:val="OtherTok"/>
        </w:rPr>
        <w:t xml:space="preserve">NA</w:t>
      </w:r>
      <w:r>
        <w:rPr>
          <w:rStyle w:val="NormalTok"/>
        </w:rPr>
        <w:t xml:space="preserve">, </w:t>
      </w:r>
      <w:r>
        <w:rPr>
          <w:rStyle w:val="KeywordTok"/>
        </w:rPr>
        <w:t xml:space="preserve">trimws</w:t>
      </w:r>
      <w:r>
        <w:rPr>
          <w:rStyle w:val="NormalTok"/>
        </w:rPr>
        <w:t xml:space="preserve">(X</w:t>
      </w:r>
      <w:r>
        <w:rPr>
          <w:rStyle w:val="OperatorTok"/>
        </w:rPr>
        <w:t xml:space="preserve">$</w:t>
      </w:r>
      <w:r>
        <w:rPr>
          <w:rStyle w:val="NormalTok"/>
        </w:rPr>
        <w:t xml:space="preserve">lemma))</w:t>
      </w:r>
      <w:r>
        <w:br w:type="textWrapping"/>
      </w:r>
      <w:r>
        <w:rPr>
          <w:rStyle w:val="NormalTok"/>
        </w:rPr>
        <w:t xml:space="preserve">X.nostop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"[[:punct:]]"</w:t>
      </w:r>
      <w:r>
        <w:rPr>
          <w:rStyle w:val="NormalTok"/>
        </w:rPr>
        <w:t xml:space="preserve">, lemma))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lemma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X.nostop, </w:t>
      </w:r>
      <w:r>
        <w:rPr>
          <w:rStyle w:val="DataTypeTok"/>
        </w:rPr>
        <w:t xml:space="preserve">file =</w:t>
      </w:r>
      <w:r>
        <w:rPr>
          <w:rStyle w:val="NormalTok"/>
        </w:rPr>
        <w:t xml:space="preserve"> </w:t>
      </w:r>
      <w:r>
        <w:rPr>
          <w:rStyle w:val="StringTok"/>
        </w:rPr>
        <w:t xml:space="preserve">"../output_data/nostop.lemmas.csv"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2" w:name="multi-word-sequences"/>
      <w:r>
        <w:t xml:space="preserve">Multi-word Sequences</w:t>
      </w:r>
      <w:bookmarkEnd w:id="32"/>
    </w:p>
    <w:p>
      <w:pPr>
        <w:pStyle w:val="FirstParagraph"/>
      </w:pPr>
      <w:r>
        <w:t xml:space="preserve">Multi-word sequences are often coded to mimic a</w:t>
      </w:r>
      <w:r>
        <w:t xml:space="preserve"> </w:t>
      </w:r>
      <w:r>
        <w:t xml:space="preserve">Collins and Quillian (1969)</w:t>
      </w:r>
      <w:r>
        <w:t xml:space="preserve"> </w:t>
      </w:r>
      <w:r>
        <w:t xml:space="preserve">semantic network, where words are nodes and edges are labelled with relations such as</w:t>
      </w:r>
      <w:r>
        <w:t xml:space="preserve"> </w:t>
      </w:r>
      <w:r>
        <w:t xml:space="preserve">“</w:t>
      </w:r>
      <w:r>
        <w:t xml:space="preserve">is-a</w:t>
      </w:r>
      <w:r>
        <w:t xml:space="preserve">”</w:t>
      </w:r>
      <w:r>
        <w:t xml:space="preserve"> </w:t>
      </w:r>
      <w:r>
        <w:t xml:space="preserve">or</w:t>
      </w:r>
      <w:r>
        <w:t xml:space="preserve"> </w:t>
      </w:r>
      <w:r>
        <w:t xml:space="preserve">“</w:t>
      </w:r>
      <w:r>
        <w:t xml:space="preserve">has-a</w:t>
      </w:r>
      <w:r>
        <w:t xml:space="preserve">”</w:t>
      </w:r>
      <w:r>
        <w:t xml:space="preserve">. Some instructions specify the use of specific relation types</w:t>
      </w:r>
      <w:r>
        <w:t xml:space="preserve"> </w:t>
      </w:r>
      <w:r>
        <w:t xml:space="preserve">(Devereux et al., 2014; Garrard et al., 2001)</w:t>
      </w:r>
      <w:r>
        <w:t xml:space="preserve">, in which case pre-encoded the following step can be omitted. A potential solution for processing unstructured data involves identifying patterns that mimic</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Examples of such an approach is the Strudel model</w:t>
      </w:r>
      <w:r>
        <w:t xml:space="preserve"> </w:t>
      </w:r>
      <w:r>
        <w:t xml:space="preserve">(Baroni, Murphy, Barbu, &amp; Poesio, 2010)</w:t>
      </w:r>
      <w:r>
        <w:t xml:space="preserve"> </w:t>
      </w:r>
      <w:r>
        <w:t xml:space="preserve">in which meaningful relations are grouped together using a small set of highly specific regular expressions.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adverb-adjective,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adverb-adjective, verb-noun, and verb-adjective-noun combinations are selected, and any words not part of these multi-word sequences are treated as unigrams. Finally, the</w:t>
      </w:r>
      <w:r>
        <w:t xml:space="preserve"> </w:t>
      </w:r>
      <w:r>
        <w:rPr>
          <w:rStyle w:val="VerbatimChar"/>
        </w:rPr>
        <w:t xml:space="preserve">count()</w:t>
      </w:r>
      <w:r>
        <w:t xml:space="preserve"> </w:t>
      </w:r>
      <w:r>
        <w:t xml:space="preserve">function is used to tabulate the final count of n-grams and their frequency (</w:t>
      </w:r>
      <w:r>
        <w:rPr>
          <w:rStyle w:val="VerbatimChar"/>
        </w:rPr>
        <w:t xml:space="preserve">multiwordSequences.R</w:t>
      </w:r>
      <w:r>
        <w:t xml:space="preserve">).</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Combine lemmas and POS</w:t>
      </w:r>
      <w:r>
        <w:br w:type="textWrapping"/>
      </w:r>
      <w:r>
        <w:rPr>
          <w:rStyle w:val="NormalTok"/>
        </w:rPr>
        <w:t xml:space="preserve">X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three.words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br w:type="textWrapping"/>
      </w:r>
      <w:r>
        <w:rPr>
          <w:rStyle w:val="NormalTok"/>
        </w:rPr>
        <w:t xml:space="preserve">                             </w:t>
      </w:r>
      <w:r>
        <w:rPr>
          <w:rStyle w:val="KeywordTok"/>
        </w:rPr>
        <w:t xml:space="preserve">lead</w:t>
      </w:r>
      <w:r>
        <w:rPr>
          <w:rStyle w:val="NormalTok"/>
        </w:rPr>
        <w:t xml:space="preserve">(lemma,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two.words.pos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three.words.pos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br w:type="textWrapping"/>
      </w:r>
      <w:r>
        <w:rPr>
          <w:rStyle w:val="NormalTok"/>
        </w:rPr>
        <w:t xml:space="preserve">                                 </w:t>
      </w:r>
      <w:r>
        <w:rPr>
          <w:rStyle w:val="KeywordTok"/>
        </w:rPr>
        <w:t xml:space="preserve">lead</w:t>
      </w:r>
      <w:r>
        <w:rPr>
          <w:rStyle w:val="NormalTok"/>
        </w:rPr>
        <w:t xml:space="preserve">(pos,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Patterns</w:t>
      </w:r>
      <w:r>
        <w:br w:type="textWrapping"/>
      </w:r>
      <w:r>
        <w:rPr>
          <w:rStyle w:val="NormalTok"/>
        </w:rPr>
        <w:t xml:space="preserve">adverb.adj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badverb.adj"</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bverb.noun"</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verb.adj.nouns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bverb.adjective.noun"</w:t>
      </w:r>
      <w:r>
        <w:rPr>
          <w:rStyle w:val="NormalTok"/>
        </w:rPr>
        <w:t xml:space="preserve">, X</w:t>
      </w:r>
      <w:r>
        <w:rPr>
          <w:rStyle w:val="OperatorTok"/>
        </w:rPr>
        <w:t xml:space="preserve">$</w:t>
      </w:r>
      <w:r>
        <w:rPr>
          <w:rStyle w:val="NormalTok"/>
        </w:rPr>
        <w:t xml:space="preserve">three.words.pos)</w:t>
      </w:r>
      <w:r>
        <w:br w:type="textWrapping"/>
      </w:r>
      <w:r>
        <w:rPr>
          <w:rStyle w:val="CommentTok"/>
        </w:rPr>
        <w:t xml:space="preserve"># Use combined and left over lemmas</w:t>
      </w:r>
      <w:r>
        <w:br w:type="textWrapping"/>
      </w:r>
      <w:r>
        <w:rPr>
          <w:rStyle w:val="NormalTok"/>
        </w:rPr>
        <w:t xml:space="preserve">X</w:t>
      </w:r>
      <w:r>
        <w:rPr>
          <w:rStyle w:val="OperatorTok"/>
        </w:rPr>
        <w:t xml:space="preserve">$</w:t>
      </w:r>
      <w:r>
        <w:rPr>
          <w:rStyle w:val="NormalTok"/>
        </w:rPr>
        <w:t xml:space="preserve">combined.lemmas &lt;-</w:t>
      </w:r>
      <w:r>
        <w:rPr>
          <w:rStyle w:val="StringTok"/>
        </w:rPr>
        <w:t xml:space="preserve"> </w:t>
      </w:r>
      <w:r>
        <w:rPr>
          <w:rStyle w:val="OtherTok"/>
        </w:rPr>
        <w:t xml:space="preserve">NA</w:t>
      </w:r>
      <w:r>
        <w:br w:type="textWrapping"/>
      </w:r>
      <w:r>
        <w:rPr>
          <w:rStyle w:val="NormalTok"/>
        </w:rPr>
        <w:t xml:space="preserve">X</w:t>
      </w:r>
      <w:r>
        <w:rPr>
          <w:rStyle w:val="OperatorTok"/>
        </w:rPr>
        <w:t xml:space="preserve">$</w:t>
      </w:r>
      <w:r>
        <w:rPr>
          <w:rStyle w:val="NormalTok"/>
        </w:rPr>
        <w:t xml:space="preserve">combined.lemmas[</w:t>
      </w:r>
      <w:r>
        <w:rPr>
          <w:rStyle w:val="KeywordTok"/>
        </w:rPr>
        <w:t xml:space="preserve">c</w:t>
      </w:r>
      <w:r>
        <w:rPr>
          <w:rStyle w:val="NormalTok"/>
        </w:rPr>
        <w:t xml:space="preserve">(adverb.adj, verb.nouns)] &lt;-</w:t>
      </w:r>
      <w:r>
        <w:rPr>
          <w:rStyle w:val="StringTok"/>
        </w:rPr>
        <w:t xml:space="preserve"> </w:t>
      </w:r>
      <w:r>
        <w:rPr>
          <w:rStyle w:val="NormalTok"/>
        </w:rPr>
        <w:t xml:space="preserve">X</w:t>
      </w:r>
      <w:r>
        <w:rPr>
          <w:rStyle w:val="OperatorTok"/>
        </w:rPr>
        <w:t xml:space="preserve">$</w:t>
      </w:r>
      <w:r>
        <w:rPr>
          <w:rStyle w:val="NormalTok"/>
        </w:rPr>
        <w:t xml:space="preserve">two.words[</w:t>
      </w:r>
      <w:r>
        <w:rPr>
          <w:rStyle w:val="KeywordTok"/>
        </w:rPr>
        <w:t xml:space="preserve">c</w:t>
      </w:r>
      <w:r>
        <w:rPr>
          <w:rStyle w:val="NormalTok"/>
        </w:rPr>
        <w:t xml:space="preserve">(adverb.adj,verb.nouns)]</w:t>
      </w:r>
      <w:r>
        <w:br w:type="textWrapping"/>
      </w:r>
      <w:r>
        <w:rPr>
          <w:rStyle w:val="NormalTok"/>
        </w:rPr>
        <w:t xml:space="preserve">X</w:t>
      </w:r>
      <w:r>
        <w:rPr>
          <w:rStyle w:val="OperatorTok"/>
        </w:rPr>
        <w:t xml:space="preserve">$</w:t>
      </w:r>
      <w:r>
        <w:rPr>
          <w:rStyle w:val="NormalTok"/>
        </w:rPr>
        <w:t xml:space="preserve">combined.lemmas[verb.adj.nouns] &lt;-</w:t>
      </w:r>
      <w:r>
        <w:rPr>
          <w:rStyle w:val="StringTok"/>
        </w:rPr>
        <w:t xml:space="preserve"> </w:t>
      </w:r>
      <w:r>
        <w:rPr>
          <w:rStyle w:val="NormalTok"/>
        </w:rPr>
        <w:t xml:space="preserve">X</w:t>
      </w:r>
      <w:r>
        <w:rPr>
          <w:rStyle w:val="OperatorTok"/>
        </w:rPr>
        <w:t xml:space="preserve">$</w:t>
      </w:r>
      <w:r>
        <w:rPr>
          <w:rStyle w:val="NormalTok"/>
        </w:rPr>
        <w:t xml:space="preserve">three.words[verb.adj.nouns]</w:t>
      </w:r>
      <w:r>
        <w:br w:type="textWrapping"/>
      </w:r>
      <w:r>
        <w:rPr>
          <w:rStyle w:val="NormalTok"/>
        </w:rPr>
        <w:t xml:space="preserve">X</w:t>
      </w:r>
      <w:r>
        <w:rPr>
          <w:rStyle w:val="OperatorTok"/>
        </w:rPr>
        <w:t xml:space="preserve">$</w:t>
      </w:r>
      <w:r>
        <w:rPr>
          <w:rStyle w:val="NormalTok"/>
        </w:rPr>
        <w:t xml:space="preserve">combined.lemmas[</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 verb.adj.nouns, </w:t>
      </w:r>
      <w:r>
        <w:br w:type="textWrapping"/>
      </w:r>
      <w:r>
        <w:rPr>
          <w:rStyle w:val="NormalTok"/>
        </w:rPr>
        <w:t xml:space="preserve">                     verb.adj.nouns</w:t>
      </w:r>
      <w:r>
        <w:rPr>
          <w:rStyle w:val="OperatorTok"/>
        </w:rPr>
        <w:t xml:space="preserve">+</w:t>
      </w:r>
      <w:r>
        <w:rPr>
          <w:rStyle w:val="DecValTok"/>
        </w:rPr>
        <w:t xml:space="preserve">1</w:t>
      </w:r>
      <w:r>
        <w:rPr>
          <w:rStyle w:val="NormalTok"/>
        </w:rPr>
        <w:t xml:space="preserve">, verb.adj.nouns</w:t>
      </w:r>
      <w:r>
        <w:rPr>
          <w:rStyle w:val="OperatorTok"/>
        </w:rPr>
        <w:t xml:space="preserve">+</w:t>
      </w:r>
      <w:r>
        <w:rPr>
          <w:rStyle w:val="DecValTok"/>
        </w:rPr>
        <w:t xml:space="preserve">2</w:t>
      </w:r>
      <w:r>
        <w:rPr>
          <w:rStyle w:val="NormalTok"/>
        </w:rPr>
        <w:t xml:space="preserve">)] &lt;-</w:t>
      </w:r>
      <w:r>
        <w:rPr>
          <w:rStyle w:val="StringTok"/>
        </w:rPr>
        <w:t xml:space="preserve"> </w:t>
      </w:r>
      <w:r>
        <w:rPr>
          <w:rStyle w:val="NormalTok"/>
        </w:rPr>
        <w:t xml:space="preserve">X</w:t>
      </w:r>
      <w:r>
        <w:rPr>
          <w:rStyle w:val="OperatorTok"/>
        </w:rPr>
        <w:t xml:space="preserve">$</w:t>
      </w:r>
      <w:r>
        <w:rPr>
          <w:rStyle w:val="NormalTok"/>
        </w:rPr>
        <w:t xml:space="preserve">lemma[</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verb.adj.nouns, verb.adj.nouns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verb.adj.nouns</w:t>
      </w:r>
      <w:r>
        <w:rPr>
          <w:rStyle w:val="OperatorTok"/>
        </w:rPr>
        <w:t xml:space="preserve">+</w:t>
      </w:r>
      <w:r>
        <w:rPr>
          <w:rStyle w:val="DecValTok"/>
        </w:rPr>
        <w:t xml:space="preserve">2</w:t>
      </w:r>
      <w:r>
        <w:rPr>
          <w:rStyle w:val="NormalTok"/>
        </w:rPr>
        <w:t xml:space="preserve">)]</w:t>
      </w:r>
      <w:r>
        <w:br w:type="textWrapping"/>
      </w:r>
      <w:r>
        <w:rPr>
          <w:rStyle w:val="CommentTok"/>
        </w:rPr>
        <w:t xml:space="preserve">#Create cue-lemma frequency</w:t>
      </w:r>
      <w:r>
        <w:br w:type="textWrapping"/>
      </w:r>
      <w:r>
        <w:rPr>
          <w:rStyle w:val="NormalTok"/>
        </w:rPr>
        <w:t xml:space="preserve">multi.words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(combined.lemmas))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(combined.lemmas)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multi.words, </w:t>
      </w:r>
      <w:r>
        <w:rPr>
          <w:rStyle w:val="DataTypeTok"/>
        </w:rPr>
        <w:t xml:space="preserve">file =</w:t>
      </w:r>
      <w:r>
        <w:rPr>
          <w:rStyle w:val="NormalTok"/>
        </w:rPr>
        <w:t xml:space="preserve"> </w:t>
      </w:r>
      <w:r>
        <w:rPr>
          <w:rStyle w:val="StringTok"/>
        </w:rPr>
        <w:t xml:space="preserve">"../output_data/multi.nostop.lemmas.csv"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This procedure produces mostly positive output, such as FINGERS &lt;</w:t>
      </w:r>
      <w:r>
        <w:rPr>
          <w:i/>
        </w:rPr>
        <w:t xml:space="preserve">have fingernails</w:t>
      </w:r>
      <w:r>
        <w:t xml:space="preserve">&gt; and COUCHES &lt;</w:t>
      </w:r>
      <w:r>
        <w:rPr>
          <w:i/>
        </w:rPr>
        <w:t xml:space="preserve">have cushions</w:t>
      </w:r>
      <w:r>
        <w:t xml:space="preserve">&gt;. One obvious limitation is the potential necessity to match this coding system to previous codes, which were predominately hand processed. Further, many similar phrases, such as the ones for ZEBRA shown below may require flexible regular expressions to ensure that the different codings for &lt;</w:t>
      </w:r>
      <w:r>
        <w:rPr>
          <w:i/>
        </w:rPr>
        <w:t xml:space="preserve">is a horse</w:t>
      </w:r>
      <w:r>
        <w:t xml:space="preserve">&gt; are all combined together, as shown in Table</w:t>
      </w:r>
      <w:r>
        <w:t xml:space="preserve"> </w:t>
      </w:r>
      <w:r>
        <w:t xml:space="preserve">??</w:t>
      </w:r>
      <w:r>
        <w:t xml:space="preserve">.</w:t>
      </w:r>
    </w:p>
    <w:p>
      <w:pPr>
        <w:pStyle w:val="berschrift2"/>
      </w:pPr>
      <w:bookmarkStart w:id="33" w:name="bag-of-words"/>
      <w:r>
        <w:t xml:space="preserve">Bag of Words</w:t>
      </w:r>
      <w:bookmarkEnd w:id="33"/>
    </w:p>
    <w:p>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w:t>
      </w:r>
      <w:r>
        <w:t xml:space="preserve"> </w:t>
      </w:r>
      <w:r>
        <w:rPr>
          <w:rStyle w:val="VerbatimChar"/>
        </w:rPr>
        <w:t xml:space="preserve">bagOfWords.R</w:t>
      </w:r>
      <w:r>
        <w:t xml:space="preserve">. Table</w:t>
      </w:r>
      <w:r>
        <w:t xml:space="preserve"> </w:t>
      </w:r>
      <w:r>
        <w:t xml:space="preserve">??</w:t>
      </w:r>
      <w:r>
        <w:t xml:space="preserve"> </w:t>
      </w:r>
      <w:r>
        <w:t xml:space="preserve">shows the top ten most frequent responses to ZEBRA given the bag of words approach.</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Create cue-lemma frequency </w:t>
      </w:r>
      <w:r>
        <w:br w:type="textWrapping"/>
      </w:r>
      <w:r>
        <w:rPr>
          <w:rStyle w:val="NormalTok"/>
        </w:rPr>
        <w:t xml:space="preserve">bag.words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bag.words, </w:t>
      </w:r>
      <w:r>
        <w:rPr>
          <w:rStyle w:val="DataTypeTok"/>
        </w:rPr>
        <w:t xml:space="preserve">file =</w:t>
      </w:r>
      <w:r>
        <w:rPr>
          <w:rStyle w:val="NormalTok"/>
        </w:rPr>
        <w:t xml:space="preserve"> </w:t>
      </w:r>
      <w:r>
        <w:rPr>
          <w:rStyle w:val="StringTok"/>
        </w:rPr>
        <w:t xml:space="preserve">"../output_data/bag.nostop.lemmas.csv"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4" w:name="descriptive-statistics"/>
      <w:r>
        <w:t xml:space="preserve">Descriptive Statistics</w:t>
      </w:r>
      <w:bookmarkEnd w:id="34"/>
    </w:p>
    <w:p>
      <w:pPr>
        <w:pStyle w:val="FirstParagraph"/>
      </w:pPr>
      <w:r>
        <w:t xml:space="preserve">The finalized data now represents a processed set of cue-feature combinations with their frequencies for analysis. The data from</w:t>
      </w:r>
      <w:r>
        <w:t xml:space="preserve"> </w:t>
      </w:r>
      <w:r>
        <w:t xml:space="preserve">Buchanan et al. (2019)</w:t>
      </w:r>
      <w:r>
        <w:t xml:space="preserve"> </w:t>
      </w:r>
      <w:r>
        <w:t xml:space="preserve">was collected over multiple years with multiple sample sizes. The sample size for each cue was then merged with the finalized cue-feature information to control for differences in potential maximum frequency. Table</w:t>
      </w:r>
      <w:r>
        <w:t xml:space="preserve"> </w:t>
      </w:r>
      <w:r>
        <w:t xml:space="preserve">??</w:t>
      </w:r>
      <w:r>
        <w:t xml:space="preserve"> </w:t>
      </w:r>
      <w:r>
        <w:t xml:space="preserve">includes descriptive statistics for the processed cue-feature set.</w:t>
      </w:r>
    </w:p>
    <w:p>
      <w:pPr>
        <w:pStyle w:val="berschrift3"/>
      </w:pPr>
      <w:bookmarkStart w:id="35" w:name="number-of-response-types"/>
      <w:r>
        <w:t xml:space="preserve">Number of response types</w:t>
      </w:r>
      <w:bookmarkEnd w:id="35"/>
    </w:p>
    <w:p>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were averaged. 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For example for the cue ZEBRA, we find a total of 196 features, whereas for APPLE we find 134 features. We expect that the number of different response tokens is a function of the number of times a cue was presented in the study. To investigate this relation, we calculated the correlation provided represents the relation between sample size for a cue and the number of features listed for that cue. These values are high and positive, indicating that the number of unique features increases with each participant.</w:t>
      </w:r>
    </w:p>
    <w:p>
      <w:pPr>
        <w:pStyle w:val="berschrift3"/>
      </w:pPr>
      <w:bookmarkStart w:id="36" w:name="idiosyncratic-responses"/>
      <w:r>
        <w:t xml:space="preserve">Idiosyncratic responses</w:t>
      </w:r>
      <w:bookmarkEnd w:id="36"/>
    </w:p>
    <w:p>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Many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berschrift3"/>
      </w:pPr>
      <w:bookmarkStart w:id="37" w:name="response-strength"/>
      <w:r>
        <w:t xml:space="preserve">Response strength</w:t>
      </w:r>
      <w:bookmarkEnd w:id="37"/>
    </w:p>
    <w:p>
      <w:pPr>
        <w:pStyle w:val="FirstParagraph"/>
      </w:pPr>
      <w:r>
        <w:t xml:space="preserve">The next two lines of Table</w:t>
      </w:r>
      <w:r>
        <w:t xml:space="preserve"> </w:t>
      </w:r>
      <w:r>
        <w:t xml:space="preserve">??</w:t>
      </w:r>
      <w:r>
        <w:t xml:space="preserve"> </w:t>
      </w:r>
      <w:r>
        <w:t xml:space="preserve">indicate cue-feature combination frequencies, such as the number of times ZEBRA &lt;</w:t>
      </w:r>
      <w:r>
        <w:rPr>
          <w:i/>
        </w:rPr>
        <w:t xml:space="preserve">stripes</w:t>
      </w:r>
      <w:r>
        <w:t xml:space="preserve">&gt; or APPLE &lt;</w:t>
      </w:r>
      <w:r>
        <w:rPr>
          <w:i/>
        </w:rPr>
        <w:t xml:space="preserve">red</w:t>
      </w:r>
      <w:r>
        <w:t xml:space="preserve">&gt; were listed by participants. The percent of responses is the frequency divided by sample size for each cue, to normalize over different sample sizes present in the data. These average frequency/percent can be seen as a measure of response strength and were calculated for each cue, and then averaged over all cues. The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pPr>
        <w:pStyle w:val="Textkrper"/>
      </w:pPr>
      <w:r>
        <w:t xml:space="preserve">Additionally, the correlation between response strength and sample size is negative, suggesting that larger sample sizes are often paired with more items with smaller response strengths. Figure</w:t>
      </w:r>
      <w:r>
        <w:t xml:space="preserve"> </w:t>
      </w:r>
      <w:r>
        <w:t xml:space="preserve">2</w:t>
      </w:r>
      <w:r>
        <w:t xml:space="preserve"> </w:t>
      </w:r>
      <w:r>
        <w:t xml:space="preserve">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 xml:space="preserve">ns</w:t>
      </w:r>
      <w:r>
        <w:t xml:space="preserve"> </w:t>
      </w:r>
      <w:r>
        <w:t xml:space="preserve">~ 30) to determine the optimal sample size for an appropriate body of data for each cue word.</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38"/>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39" w:name="internal-comparison-of-approach"/>
      <w:r>
        <w:t xml:space="preserve">Internal Comparison of Approach</w:t>
      </w:r>
      <w:bookmarkEnd w:id="39"/>
    </w:p>
    <w:p>
      <w:pPr>
        <w:pStyle w:val="FirstParagraph"/>
      </w:pPr>
      <w:r>
        <w:t xml:space="preserve">In this section, we show that the bag of words approach matches the data from</w:t>
      </w:r>
      <w:r>
        <w:t xml:space="preserve"> </w:t>
      </w:r>
      <w:r>
        <w:t xml:space="preserve">McRae et al. (2005)</w:t>
      </w:r>
      <w:r>
        <w:t xml:space="preserve">,</w:t>
      </w:r>
      <w:r>
        <w:t xml:space="preserve"> </w:t>
      </w:r>
      <w:r>
        <w:t xml:space="preserve">Vinson and Vigliocco (2008)</w:t>
      </w:r>
      <w:r>
        <w:t xml:space="preserve">, and</w:t>
      </w:r>
      <w:r>
        <w:t xml:space="preserve"> </w:t>
      </w:r>
      <w:r>
        <w:t xml:space="preserve">Buchanan et al. (2019)</w:t>
      </w:r>
      <w:r>
        <w:t xml:space="preserve">, which compares data processed completely through code to datasets that were primarily hand coded. These 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is often used as a measure of semantic similarity, indicating the feature overlap between two sets of cue-feature lists. These values can range from 0 (no overlap) to 1 (perfect overlap). Two cosine values can be derived from the</w:t>
      </w:r>
      <w:r>
        <w:t xml:space="preserve"> </w:t>
      </w:r>
      <w:r>
        <w:t xml:space="preserve">Buchanan et al. (2019)</w:t>
      </w:r>
      <w:r>
        <w:t xml:space="preserve"> </w:t>
      </w:r>
      <w:r>
        <w:t xml:space="preserve">data: the raw cosine, which included all features as listed and the cosine for lemmatized responses. Each cue in the sample data for this project was compared to the corresponding cue in the</w:t>
      </w:r>
      <w:r>
        <w:t xml:space="preserve"> </w:t>
      </w:r>
      <w:r>
        <w:t xml:space="preserve">Buchanan et al. (2019)</w:t>
      </w:r>
      <w:r>
        <w:t xml:space="preserve">. If data were processed in an identical fashion, the cosine values would be nearly 1 for</w:t>
      </w:r>
      <w:r>
        <w:t xml:space="preserve"> </w:t>
      </w:r>
      <w:r>
        <w:t xml:space="preserve">Buchanan et al. (2019)</w:t>
      </w:r>
      <w:r>
        <w:t xml:space="preserve"> </w:t>
      </w:r>
      <w:r>
        <w:t xml:space="preserve">data or match the cosine values found for</w:t>
      </w:r>
      <w:r>
        <w:t xml:space="preserve"> </w:t>
      </w:r>
      <w:r>
        <w:t xml:space="preserve">McRae et al. (2005)</w:t>
      </w:r>
      <w:r>
        <w:t xml:space="preserve"> </w:t>
      </w:r>
      <w:r>
        <w:t xml:space="preserve">and</w:t>
      </w:r>
      <w:r>
        <w:t xml:space="preserve"> </w:t>
      </w:r>
      <w:r>
        <w:t xml:space="preserve">Vinson and Vigliocco (2008)</w:t>
      </w:r>
      <w:r>
        <w:t xml:space="preserve"> </w:t>
      </w:r>
      <w:r>
        <w:t xml:space="preserve">in the</w:t>
      </w:r>
      <w:r>
        <w:t xml:space="preserve"> </w:t>
      </w:r>
      <w:r>
        <w:t xml:space="preserve">Buchanan et al. (2019)</w:t>
      </w:r>
      <w:r>
        <w:t xml:space="preserve"> </w:t>
      </w:r>
      <w:r>
        <w:t xml:space="preserve">results: original feature cosine = .54-.55, and lemmatized</w:t>
      </w:r>
      <w:r>
        <w:rPr>
          <w:rStyle w:val="Funotenzeichen"/>
        </w:rPr>
        <w:footnoteReference w:id="40"/>
      </w:r>
      <w:r>
        <w:t xml:space="preserve"> </w:t>
      </w:r>
      <w:r>
        <w:t xml:space="preserve">features = .66-.67. However, all previous datasets have been reduced by eliminating idiosyncratic features at various points, and therefore, we might expect that noise in the data would reduce the average cosine values. Table</w:t>
      </w:r>
      <w:r>
        <w:t xml:space="preserve"> </w:t>
      </w:r>
      <w:r>
        <w:t xml:space="preserve">??</w:t>
      </w:r>
      <w:r>
        <w:t xml:space="preserve"> </w:t>
      </w:r>
      <w:r>
        <w:t xml:space="preserve">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increases the match between sets indicating how removing these terms can improve prediction. The cosine values for no stopwords indicate a somewhat comparable set of data, with lower values for McRae et al. (2005) than previous results in the original feature sets. These values indicate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41" w:name="external-comparison-of-approach"/>
      <w:r>
        <w:t xml:space="preserve">External Comparison of Approach</w:t>
      </w:r>
      <w:bookmarkEnd w:id="41"/>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agreement between raters and cosine values. The agreement between ratings and bag of word cosine values was higher when stopwords were excluded,</w:t>
      </w:r>
      <w:r>
        <w:t xml:space="preserve"> </w:t>
      </w:r>
      <m:oMath>
        <m:r>
          <m:t>r</m:t>
        </m:r>
        <m:r>
          <m:t>=</m:t>
        </m:r>
        <m:r>
          <m:t>.70</m:t>
        </m:r>
      </m:oMath>
      <w:r>
        <w:t xml:space="preserve">, 95% CI</w:t>
      </w:r>
      <w:r>
        <w:t xml:space="preserve"> </w:t>
      </w:r>
      <m:oMath>
        <m:r>
          <m:t>[</m:t>
        </m:r>
        <m:r>
          <m:t>.61</m:t>
        </m:r>
      </m:oMath>
      <w:r>
        <w:t xml:space="preserve">,</w:t>
      </w:r>
      <w:r>
        <w:t xml:space="preserve"> </w:t>
      </w:r>
      <m:oMath>
        <m:r>
          <m:t>.76</m:t>
        </m:r>
        <m:r>
          <m:t>]</m:t>
        </m:r>
      </m:oMath>
      <w:r>
        <w:t xml:space="preserve">.</w:t>
      </w:r>
    </w:p>
    <w:p>
      <w:pPr>
        <w:pStyle w:val="berschrift1"/>
      </w:pPr>
      <w:bookmarkStart w:id="42" w:name="discussion"/>
      <w:r>
        <w:t xml:space="preserve">Discussion</w:t>
      </w:r>
      <w:bookmarkEnd w:id="42"/>
    </w:p>
    <w:p>
      <w:pPr>
        <w:pStyle w:val="FirstParagraph"/>
      </w:pPr>
      <w:r>
        <w:t xml:space="preserve">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science practices are shifting to open procedures and practices</w:t>
      </w:r>
      <w:r>
        <w:t xml:space="preserve"> </w:t>
      </w:r>
      <w:r>
        <w:t xml:space="preserve">(Nosek et al., 2015)</w:t>
      </w:r>
      <w:r>
        <w:t xml:space="preserve">, and reproducible research is key</w:t>
      </w:r>
      <w:r>
        <w:t xml:space="preserve"> </w:t>
      </w:r>
      <w:r>
        <w:t xml:space="preserve">(Peng, 2011)</w:t>
      </w:r>
      <w:r>
        <w:t xml:space="preserve">. Second, automated processing provides faster data analysis than hand-coded systems, and the ability to examine how processing steps affect results. We have shown that the automated procedure provides a comparable set of results to the hand-coded systems from</w:t>
      </w:r>
      <w:r>
        <w:t xml:space="preserve"> </w:t>
      </w:r>
      <w:r>
        <w:t xml:space="preserve">Buchanan et al. (2019)</w:t>
      </w:r>
      <w:r>
        <w:t xml:space="preserve">,</w:t>
      </w:r>
      <w:r>
        <w:t xml:space="preserve"> </w:t>
      </w:r>
      <w:r>
        <w:t xml:space="preserve">McRae et al. (2005)</w:t>
      </w:r>
      <w:r>
        <w:t xml:space="preserve">, and</w:t>
      </w:r>
      <w:r>
        <w:t xml:space="preserve"> </w:t>
      </w:r>
      <w:r>
        <w:t xml:space="preserve">Vinson and Vigliocco (2008)</w:t>
      </w:r>
      <w:r>
        <w:t xml:space="preserve">. The addition of specialized lemmas and other word exclusions (i.e., &lt;</w:t>
      </w:r>
      <w:r>
        <w:rPr>
          <w:i/>
        </w:rPr>
        <w:t xml:space="preserve">sometimes</w:t>
      </w:r>
      <w:r>
        <w:t xml:space="preserve">&gt;, &lt;</w:t>
      </w:r>
      <w:r>
        <w:rPr>
          <w:i/>
        </w:rPr>
        <w:t xml:space="preserve">usually</w:t>
      </w:r>
      <w:r>
        <w:t xml:space="preserve">&gt;, &lt;</w:t>
      </w:r>
      <w:r>
        <w:rPr>
          <w:i/>
        </w:rPr>
        <w:t xml:space="preserve">lot</w:t>
      </w:r>
      <w:r>
        <w:t xml:space="preserve">&gt; or idiosyncratic features) would provide more reduction, and thus, more overlap between hand and automated processing. Further, the automated data processing showed strong correlations with external subjective ratings of cue-cue relatedness in the MEN dataset. We suggest the workflow shown in Figure</w:t>
      </w:r>
      <w:r>
        <w:t xml:space="preserve"> </w:t>
      </w:r>
      <w:r>
        <w:t xml:space="preserve">1</w:t>
      </w:r>
      <w:r>
        <w:t xml:space="preserve"> </w:t>
      </w:r>
      <w:r>
        <w:t xml:space="preserve">and the suggested</w:t>
      </w:r>
      <w:r>
        <w:t xml:space="preserve"> </w:t>
      </w:r>
      <w:r>
        <w:rPr>
          <w:i/>
        </w:rPr>
        <w:t xml:space="preserve">R</w:t>
      </w:r>
      <w:r>
        <w:t xml:space="preserve"> </w:t>
      </w:r>
      <w:r>
        <w:t xml:space="preserve">code can provide a framework for researchers to use on their own data.</w:t>
      </w:r>
    </w:p>
    <w:p>
      <w:pPr>
        <w:pStyle w:val="berschrift3"/>
      </w:pPr>
      <w:bookmarkStart w:id="43" w:name="extending-the-approach"/>
      <w:r>
        <w:t xml:space="preserve">Extending the approach</w:t>
      </w:r>
      <w:bookmarkEnd w:id="43"/>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extkrper"/>
      </w:pPr>
      <w:r>
        <w:t xml:space="preserve">Potentially, a simple ontology can be mapped using an approach similar to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was able to assign four ontology labels to properties: part, category, location, and function. Using these results, we can match 2279 of the bag of words features (5%). These features were predominately parts (39.7), followed by function (30.7), location (24.2), and category (5.4). Table</w:t>
      </w:r>
      <w:r>
        <w:t xml:space="preserve"> </w:t>
      </w:r>
      <w:r>
        <w:t xml:space="preserve">??</w:t>
      </w:r>
      <w:r>
        <w:t xml:space="preserve"> </w:t>
      </w:r>
      <w:r>
        <w:t xml:space="preserve">indicates ten of the most frequent cue-feature pairs for each ontology label, excluding duplicate features across cues. An examination of the top results indicates coherent labels (parts: ZEBRA &lt;</w:t>
      </w:r>
      <w:r>
        <w:rPr>
          <w:i/>
        </w:rPr>
        <w:t xml:space="preserve">stripe</w:t>
      </w:r>
      <w:r>
        <w:t xml:space="preserve">&gt;, location: SHOE &lt;</w:t>
      </w:r>
      <w:r>
        <w:rPr>
          <w:i/>
        </w:rPr>
        <w:t xml:space="preserve">foot</w:t>
      </w:r>
      <w:r>
        <w:t xml:space="preserve">&gt;, and category: FURNITURE &lt;</w:t>
      </w:r>
      <w:r>
        <w:rPr>
          <w:i/>
        </w:rPr>
        <w:t xml:space="preserve">table</w:t>
      </w:r>
      <w:r>
        <w:t xml:space="preserve">&gt;); however, there are also a few mismatches (location: SCISSORS &lt;</w:t>
      </w:r>
      <w:r>
        <w:rPr>
          <w:i/>
        </w:rPr>
        <w:t xml:space="preserve">cut</w:t>
      </w:r>
      <w:r>
        <w:t xml:space="preserve">&gt;, function: LEAF &lt;</w:t>
      </w:r>
      <w:r>
        <w:rPr>
          <w:i/>
        </w:rPr>
        <w:t xml:space="preserve">green</w:t>
      </w:r>
      <w:r>
        <w:t xml:space="preserve">&gt;). This model represents an area in which one might begin to automate the labeling process, likely combined with other pre-defined rule sets.</w:t>
      </w:r>
    </w:p>
    <w:p>
      <w:pPr>
        <w:pStyle w:val="berschrift3"/>
      </w:pPr>
      <w:bookmarkStart w:id="44" w:name="some-limitations"/>
      <w:r>
        <w:t xml:space="preserve">Some limitations</w:t>
      </w:r>
      <w:bookmarkEnd w:id="44"/>
    </w:p>
    <w:p>
      <w:pPr>
        <w:pStyle w:val="FirstParagraph"/>
      </w:pPr>
      <w:r>
        <w:t xml:space="preserve">So far we have not investigated to what extend the automatic procedure leads to equally good representations for different types of concepts. More specifically, abstract concepts tend to have a larger number of features, although this effect is likely tied to specific ontologies of features</w:t>
      </w:r>
      <w:r>
        <w:t xml:space="preserve"> </w:t>
      </w:r>
      <w:r>
        <w:t xml:space="preserve">(Recchia &amp; Jones, 2012)</w:t>
      </w:r>
      <w:r>
        <w:t xml:space="preserve">. Pooling together features might improve the quality of the final representation, especially for these types of concepts. Potentially, this might require additional steps in which features are not only grouped based on surface properties but might also benefit from grouping synonymous words. Within this framework, the properties could be added within a lookup dictionary to further promote an open and transparent coding for data processing.</w:t>
      </w:r>
    </w:p>
    <w:p>
      <w:pPr>
        <w:pStyle w:val="berschrift2"/>
      </w:pPr>
      <w:bookmarkStart w:id="45" w:name="compliance-with-ethical-standards"/>
      <w:r>
        <w:t xml:space="preserve">Compliance with Ethical Standards</w:t>
      </w:r>
      <w:bookmarkEnd w:id="45"/>
    </w:p>
    <w:p>
      <w:pPr>
        <w:pStyle w:val="FirstParagraph"/>
      </w:pPr>
      <w:r>
        <w:rPr>
          <w:i/>
        </w:rPr>
        <w:t xml:space="preserve">Funding</w:t>
      </w:r>
      <w:r>
        <w:t xml:space="preserve">: This work was supported by the European Union’s Horizon 2020 research and innovation programme under the Marie Skłodowska-Curie Grant Agreement No. 702655 and by the University of Padua (SID 2018) to MM.</w:t>
      </w:r>
    </w:p>
    <w:p>
      <w:pPr>
        <w:pStyle w:val="Textkrper"/>
      </w:pPr>
      <w:r>
        <w:rPr>
          <w:i/>
        </w:rPr>
        <w:t xml:space="preserve">Ethical Approval</w:t>
      </w:r>
      <w:r>
        <w:t xml:space="preserve">: All procedures performed in studies involving human participants were in accordance with the ethical standards of the institutional and/or national research committee (include name of committee + reference number) and with the 1964 Helsinki declaration and its later amendments or comparable ethical standards.</w:t>
      </w:r>
    </w:p>
    <w:p>
      <w:pPr>
        <w:pStyle w:val="Textkrper"/>
      </w:pPr>
      <w:r>
        <w:rPr>
          <w:i/>
        </w:rPr>
        <w:t xml:space="preserve">Conflict of Interest</w:t>
      </w:r>
      <w:r>
        <w:t xml:space="preserve">: The authors declare that they have no conflict of interest.</w:t>
      </w:r>
    </w:p>
    <w:p>
      <w:pPr>
        <w:pStyle w:val="berschrift1"/>
      </w:pPr>
      <w:bookmarkStart w:id="46" w:name="references"/>
      <w:r>
        <w:t xml:space="preserve">References</w:t>
      </w:r>
      <w:bookmarkEnd w:id="46"/>
    </w:p>
    <w:bookmarkStart w:id="156" w:name="refs"/>
    <w:bookmarkStart w:id="48" w:name="ref-Aust2017"/>
    <w:p>
      <w:pPr>
        <w:pStyle w:val="FirstParagraph"/>
      </w:pPr>
      <w:r>
        <w:t xml:space="preserve">Aust, F., &amp; Barth, M. (2017). papaja: Create APA manuscripts with R Markdown. Retrieved from</w:t>
      </w:r>
      <w:r>
        <w:t xml:space="preserve"> </w:t>
      </w:r>
      <w:hyperlink r:id="rId47">
        <w:r>
          <w:rPr>
            <w:rStyle w:val="Hyperlink"/>
          </w:rPr>
          <w:t xml:space="preserve">https://github.com/crsh/papaja</w:t>
        </w:r>
      </w:hyperlink>
    </w:p>
    <w:bookmarkEnd w:id="48"/>
    <w:bookmarkStart w:id="50" w:name="ref-Baroni2010"/>
    <w:p>
      <w:pPr>
        <w:pStyle w:val="Textkrper"/>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49">
        <w:r>
          <w:rPr>
            <w:rStyle w:val="Hyperlink"/>
          </w:rPr>
          <w:t xml:space="preserve">10.1111/j.1551-6709.2009.01068.x</w:t>
        </w:r>
      </w:hyperlink>
    </w:p>
    <w:bookmarkEnd w:id="50"/>
    <w:bookmarkStart w:id="52" w:name="ref-Benoit2017"/>
    <w:p>
      <w:pPr>
        <w:pStyle w:val="Textkrper"/>
      </w:pPr>
      <w:r>
        <w:t xml:space="preserve">Benoit, K., Muhr, D., &amp; Watanabe, K. (2017). stopwords: Multilingual stopword lists. Retrieved from</w:t>
      </w:r>
      <w:r>
        <w:t xml:space="preserve"> </w:t>
      </w:r>
      <w:hyperlink r:id="rId51">
        <w:r>
          <w:rPr>
            <w:rStyle w:val="Hyperlink"/>
          </w:rPr>
          <w:t xml:space="preserve">https://cran.r-project.org/web/packages/stopwords/index.html</w:t>
        </w:r>
      </w:hyperlink>
    </w:p>
    <w:bookmarkEnd w:id="52"/>
    <w:bookmarkStart w:id="54"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53">
        <w:r>
          <w:rPr>
            <w:rStyle w:val="Hyperlink"/>
          </w:rPr>
          <w:t xml:space="preserve">10.1613/jair.4135</w:t>
        </w:r>
      </w:hyperlink>
    </w:p>
    <w:bookmarkEnd w:id="54"/>
    <w:bookmarkStart w:id="56"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55">
        <w:r>
          <w:rPr>
            <w:rStyle w:val="Hyperlink"/>
          </w:rPr>
          <w:t xml:space="preserve">10.3758/s13428-013-0403-5</w:t>
        </w:r>
      </w:hyperlink>
    </w:p>
    <w:bookmarkEnd w:id="56"/>
    <w:bookmarkStart w:id="58"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57">
        <w:r>
          <w:rPr>
            <w:rStyle w:val="Hyperlink"/>
          </w:rPr>
          <w:t xml:space="preserve">10.3758/s13428-012-0284-z</w:t>
        </w:r>
      </w:hyperlink>
    </w:p>
    <w:bookmarkEnd w:id="58"/>
    <w:bookmarkStart w:id="60"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59">
        <w:r>
          <w:rPr>
            <w:rStyle w:val="Hyperlink"/>
          </w:rPr>
          <w:t xml:space="preserve">10.3758/s13428-019-01243-z</w:t>
        </w:r>
      </w:hyperlink>
    </w:p>
    <w:bookmarkEnd w:id="60"/>
    <w:bookmarkStart w:id="62" w:name="ref-Caramazza1988"/>
    <w:p>
      <w:pPr>
        <w:pStyle w:val="Textkrper"/>
      </w:pPr>
      <w:r>
        <w:t xml:space="preserve">Caramazza, A., Laudanna, A., &amp; Romani, C. (1988). Lexical access and inflectional morphology.</w:t>
      </w:r>
      <w:r>
        <w:t xml:space="preserve"> </w:t>
      </w:r>
      <w:r>
        <w:rPr>
          <w:i/>
        </w:rPr>
        <w:t xml:space="preserve">Cognition</w:t>
      </w:r>
      <w:r>
        <w:t xml:space="preserve">,</w:t>
      </w:r>
      <w:r>
        <w:t xml:space="preserve"> </w:t>
      </w:r>
      <w:r>
        <w:rPr>
          <w:i/>
        </w:rPr>
        <w:t xml:space="preserve">28</w:t>
      </w:r>
      <w:r>
        <w:t xml:space="preserve">(3), 297–332. doi:</w:t>
      </w:r>
      <w:hyperlink r:id="rId61">
        <w:r>
          <w:rPr>
            <w:rStyle w:val="Hyperlink"/>
          </w:rPr>
          <w:t xml:space="preserve">10.1016/0010-0277(88)90017-0</w:t>
        </w:r>
      </w:hyperlink>
    </w:p>
    <w:bookmarkEnd w:id="62"/>
    <w:bookmarkStart w:id="64" w:name="ref-Catricala2015"/>
    <w:p>
      <w:pPr>
        <w:pStyle w:val="Textkrper"/>
      </w:pPr>
      <w:r>
        <w:t xml:space="preserve">Catricalà, E., Della Rosa, P. A., Plebani, V., Perani, D., Garrard, P., &amp; Cappa, S. F. (2015). Semantic feature degradation and naming performance. Evidence from neurodegenerative disorders.</w:t>
      </w:r>
      <w:r>
        <w:t xml:space="preserve"> </w:t>
      </w:r>
      <w:r>
        <w:rPr>
          <w:i/>
        </w:rPr>
        <w:t xml:space="preserve">Brain and Language</w:t>
      </w:r>
      <w:r>
        <w:t xml:space="preserve">,</w:t>
      </w:r>
      <w:r>
        <w:t xml:space="preserve"> </w:t>
      </w:r>
      <w:r>
        <w:rPr>
          <w:i/>
        </w:rPr>
        <w:t xml:space="preserve">147</w:t>
      </w:r>
      <w:r>
        <w:t xml:space="preserve">, 58–65. doi:</w:t>
      </w:r>
      <w:hyperlink r:id="rId63">
        <w:r>
          <w:rPr>
            <w:rStyle w:val="Hyperlink"/>
          </w:rPr>
          <w:t xml:space="preserve">10.1016/J.BANDL.2015.05.007</w:t>
        </w:r>
      </w:hyperlink>
    </w:p>
    <w:bookmarkEnd w:id="64"/>
    <w:bookmarkStart w:id="66"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65">
        <w:r>
          <w:rPr>
            <w:rStyle w:val="Hyperlink"/>
          </w:rPr>
          <w:t xml:space="preserve">10.1016/S0022-5371(69)80069-1</w:t>
        </w:r>
      </w:hyperlink>
    </w:p>
    <w:bookmarkEnd w:id="66"/>
    <w:bookmarkStart w:id="68" w:name="ref-Cree2003"/>
    <w:p>
      <w:pPr>
        <w:pStyle w:val="Textkrper"/>
      </w:pPr>
      <w:r>
        <w:t xml:space="preserve">Cree, G. S., &amp; McRae, K. (2003). Analyzing the factors underlying the structure and computation of the meaning of chipmunk, cherry, chisel, cheese, and cello (and many other such concrete nouns).</w:t>
      </w:r>
      <w:r>
        <w:t xml:space="preserve"> </w:t>
      </w:r>
      <w:r>
        <w:rPr>
          <w:i/>
        </w:rPr>
        <w:t xml:space="preserve">Journal of Experimental Psychology: General</w:t>
      </w:r>
      <w:r>
        <w:t xml:space="preserve">,</w:t>
      </w:r>
      <w:r>
        <w:t xml:space="preserve"> </w:t>
      </w:r>
      <w:r>
        <w:rPr>
          <w:i/>
        </w:rPr>
        <w:t xml:space="preserve">132</w:t>
      </w:r>
      <w:r>
        <w:t xml:space="preserve">(2), 163–201. doi:</w:t>
      </w:r>
      <w:hyperlink r:id="rId67">
        <w:r>
          <w:rPr>
            <w:rStyle w:val="Hyperlink"/>
          </w:rPr>
          <w:t xml:space="preserve">10.1037/0096-3445.132.2.163</w:t>
        </w:r>
      </w:hyperlink>
    </w:p>
    <w:bookmarkEnd w:id="68"/>
    <w:bookmarkStart w:id="70" w:name="ref-DeQueiroz2019"/>
    <w:p>
      <w:pPr>
        <w:pStyle w:val="Textkrper"/>
      </w:pPr>
      <w:r>
        <w:t xml:space="preserve">De Queiroz, G., Hvitfeldt E, Keyes O, Misra K, Mastny T, Erickson J, … Silge J. (2019). tidytext: Text mining using ’dplyr’, ’ggplot2’, and other tidy tools. Retrieved from</w:t>
      </w:r>
      <w:r>
        <w:t xml:space="preserve"> </w:t>
      </w:r>
      <w:hyperlink r:id="rId69">
        <w:r>
          <w:rPr>
            <w:rStyle w:val="Hyperlink"/>
          </w:rPr>
          <w:t xml:space="preserve">https://cran.r-project.org/web/packages/tidytext/index.html</w:t>
        </w:r>
      </w:hyperlink>
    </w:p>
    <w:bookmarkEnd w:id="70"/>
    <w:bookmarkStart w:id="72"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71">
        <w:r>
          <w:rPr>
            <w:rStyle w:val="Hyperlink"/>
          </w:rPr>
          <w:t xml:space="preserve">10.3758/s13428-013-0420-4</w:t>
        </w:r>
      </w:hyperlink>
    </w:p>
    <w:bookmarkEnd w:id="72"/>
    <w:bookmarkStart w:id="74" w:name="ref-DeDeyne2008d"/>
    <w:p>
      <w:pPr>
        <w:pStyle w:val="Textkrper"/>
      </w:pPr>
      <w:r>
        <w:t xml:space="preserve">Deyne, S. de, Verheyen, S., Ameel, E., Vanpaemel, W., Dry, M. J., Voorspoels, W., &amp; Storms, G. (2008). Exemplar by feature applicability matrices and other Dutch normative data for semantic concepts.</w:t>
      </w:r>
      <w:r>
        <w:t xml:space="preserve"> </w:t>
      </w:r>
      <w:r>
        <w:rPr>
          <w:i/>
        </w:rPr>
        <w:t xml:space="preserve">Behavior Research Methods</w:t>
      </w:r>
      <w:r>
        <w:t xml:space="preserve">,</w:t>
      </w:r>
      <w:r>
        <w:t xml:space="preserve"> </w:t>
      </w:r>
      <w:r>
        <w:rPr>
          <w:i/>
        </w:rPr>
        <w:t xml:space="preserve">40</w:t>
      </w:r>
      <w:r>
        <w:t xml:space="preserve">(4), 1030–1048. doi:</w:t>
      </w:r>
      <w:hyperlink r:id="rId73">
        <w:r>
          <w:rPr>
            <w:rStyle w:val="Hyperlink"/>
          </w:rPr>
          <w:t xml:space="preserve">10.3758/BRM.40.4.1030</w:t>
        </w:r>
      </w:hyperlink>
    </w:p>
    <w:bookmarkEnd w:id="74"/>
    <w:bookmarkStart w:id="76" w:name="ref-Duarte2009"/>
    <w:p>
      <w:pPr>
        <w:pStyle w:val="Textkrper"/>
      </w:pPr>
      <w:r>
        <w:t xml:space="preserve">Duarte, L. R., Marquié, L., Marquié, J. C., Terrier, P., &amp; Ousset, P. J. (2009). Analyzing feature distinctiveness in the processing of living and non-living concepts in Alzheimer’s disease.</w:t>
      </w:r>
      <w:r>
        <w:t xml:space="preserve"> </w:t>
      </w:r>
      <w:r>
        <w:rPr>
          <w:i/>
        </w:rPr>
        <w:t xml:space="preserve">Brain and Cognition</w:t>
      </w:r>
      <w:r>
        <w:t xml:space="preserve">,</w:t>
      </w:r>
      <w:r>
        <w:t xml:space="preserve"> </w:t>
      </w:r>
      <w:r>
        <w:rPr>
          <w:i/>
        </w:rPr>
        <w:t xml:space="preserve">71</w:t>
      </w:r>
      <w:r>
        <w:t xml:space="preserve">(2), 108–117. doi:</w:t>
      </w:r>
      <w:hyperlink r:id="rId75">
        <w:r>
          <w:rPr>
            <w:rStyle w:val="Hyperlink"/>
          </w:rPr>
          <w:t xml:space="preserve">10.1016/j.bandc.2009.04.007</w:t>
        </w:r>
      </w:hyperlink>
    </w:p>
    <w:bookmarkEnd w:id="76"/>
    <w:bookmarkStart w:id="78"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77">
        <w:r>
          <w:rPr>
            <w:rStyle w:val="Hyperlink"/>
          </w:rPr>
          <w:t xml:space="preserve">10.1016/j.cortex.2013.05.010</w:t>
        </w:r>
      </w:hyperlink>
    </w:p>
    <w:bookmarkEnd w:id="78"/>
    <w:bookmarkStart w:id="80" w:name="ref-Farah1991"/>
    <w:p>
      <w:pPr>
        <w:pStyle w:val="Textkrper"/>
      </w:pPr>
      <w:r>
        <w:t xml:space="preserve">Farah, M. J., &amp; McClelland, J. L. (1991). A computational model of semantic memory impairment: Modality specificity and emergent category specificity.</w:t>
      </w:r>
      <w:r>
        <w:t xml:space="preserve"> </w:t>
      </w:r>
      <w:r>
        <w:rPr>
          <w:i/>
        </w:rPr>
        <w:t xml:space="preserve">Journal of Experimental Psychology: General</w:t>
      </w:r>
      <w:r>
        <w:t xml:space="preserve">,</w:t>
      </w:r>
      <w:r>
        <w:t xml:space="preserve"> </w:t>
      </w:r>
      <w:r>
        <w:rPr>
          <w:i/>
        </w:rPr>
        <w:t xml:space="preserve">120</w:t>
      </w:r>
      <w:r>
        <w:t xml:space="preserve">(4), 339–357. doi:</w:t>
      </w:r>
      <w:hyperlink r:id="rId79">
        <w:r>
          <w:rPr>
            <w:rStyle w:val="Hyperlink"/>
          </w:rPr>
          <w:t xml:space="preserve">10.1037/0096-3445.120.4.339</w:t>
        </w:r>
      </w:hyperlink>
    </w:p>
    <w:bookmarkEnd w:id="80"/>
    <w:bookmarkStart w:id="82" w:name="ref-Gagolewski2019"/>
    <w:p>
      <w:pPr>
        <w:pStyle w:val="Textkrper"/>
      </w:pPr>
      <w:r>
        <w:t xml:space="preserve">Gagolewski, M., &amp; Tartanus, B. (2019). stringi: Character string processing facilities. Retrieved from</w:t>
      </w:r>
      <w:r>
        <w:t xml:space="preserve"> </w:t>
      </w:r>
      <w:hyperlink r:id="rId81">
        <w:r>
          <w:rPr>
            <w:rStyle w:val="Hyperlink"/>
          </w:rPr>
          <w:t xml:space="preserve">https://cran.r-project.org/web/packages/stringi/index.html</w:t>
        </w:r>
      </w:hyperlink>
    </w:p>
    <w:bookmarkEnd w:id="82"/>
    <w:bookmarkStart w:id="84" w:name="ref-Garrard2001"/>
    <w:p>
      <w:pPr>
        <w:pStyle w:val="Textkrper"/>
      </w:pPr>
      <w:r>
        <w:t xml:space="preserve">Garrard, P., Lambon Ralph, M. A., Hodges, J. R., &amp; Patterson, K. (2001). Prototypicality, distinctiveness, and intercorrelation: Analyses of the semantic attributes of living and nonliving concepts.</w:t>
      </w:r>
      <w:r>
        <w:t xml:space="preserve"> </w:t>
      </w:r>
      <w:r>
        <w:rPr>
          <w:i/>
        </w:rPr>
        <w:t xml:space="preserve">Cognitive Neuropsychology</w:t>
      </w:r>
      <w:r>
        <w:t xml:space="preserve">,</w:t>
      </w:r>
      <w:r>
        <w:t xml:space="preserve"> </w:t>
      </w:r>
      <w:r>
        <w:rPr>
          <w:i/>
        </w:rPr>
        <w:t xml:space="preserve">18</w:t>
      </w:r>
      <w:r>
        <w:t xml:space="preserve">(2), 125–174. doi:</w:t>
      </w:r>
      <w:hyperlink r:id="rId83">
        <w:r>
          <w:rPr>
            <w:rStyle w:val="Hyperlink"/>
          </w:rPr>
          <w:t xml:space="preserve">10.1080/02643290125857</w:t>
        </w:r>
      </w:hyperlink>
    </w:p>
    <w:bookmarkEnd w:id="84"/>
    <w:bookmarkStart w:id="85" w:name="ref-Humphreys2001"/>
    <w:p>
      <w:pPr>
        <w:pStyle w:val="Textkrper"/>
      </w:pPr>
      <w:r>
        <w:t xml:space="preserve">Humphreys, G. W., &amp; Forde, E. M. (2001). Hierarchies, similarity, and interactivity in object recognition: "category-specific" neuropsychological deficits.</w:t>
      </w:r>
      <w:r>
        <w:t xml:space="preserve"> </w:t>
      </w:r>
      <w:r>
        <w:rPr>
          <w:i/>
        </w:rPr>
        <w:t xml:space="preserve">The Behavioral and Brain Sciences</w:t>
      </w:r>
      <w:r>
        <w:t xml:space="preserve">,</w:t>
      </w:r>
      <w:r>
        <w:t xml:space="preserve"> </w:t>
      </w:r>
      <w:r>
        <w:rPr>
          <w:i/>
        </w:rPr>
        <w:t xml:space="preserve">24</w:t>
      </w:r>
      <w:r>
        <w:t xml:space="preserve">(3), 453–476.</w:t>
      </w:r>
    </w:p>
    <w:bookmarkEnd w:id="85"/>
    <w:bookmarkStart w:id="86" w:name="ref-Jackendoff1992"/>
    <w:p>
      <w:pPr>
        <w:pStyle w:val="Textkrper"/>
      </w:pPr>
      <w:r>
        <w:t xml:space="preserve">Jackendoff, R. (1992).</w:t>
      </w:r>
      <w:r>
        <w:t xml:space="preserve"> </w:t>
      </w:r>
      <w:r>
        <w:rPr>
          <w:i/>
        </w:rPr>
        <w:t xml:space="preserve">Semantic structures</w:t>
      </w:r>
      <w:r>
        <w:t xml:space="preserve">. Boston, MA: MIT Press.</w:t>
      </w:r>
    </w:p>
    <w:bookmarkEnd w:id="86"/>
    <w:bookmarkStart w:id="87" w:name="ref-Jackendoff2002"/>
    <w:p>
      <w:pPr>
        <w:pStyle w:val="Textkrper"/>
      </w:pPr>
      <w:r>
        <w:t xml:space="preserve">Jackendoff, R. (2002).</w:t>
      </w:r>
      <w:r>
        <w:t xml:space="preserve"> </w:t>
      </w:r>
      <w:r>
        <w:rPr>
          <w:i/>
        </w:rPr>
        <w:t xml:space="preserve">Foundations of language (brain, meaning, grammar, evolution)</w:t>
      </w:r>
      <w:r>
        <w:t xml:space="preserve">. Oxford, UK.: Oxford University Press.</w:t>
      </w:r>
    </w:p>
    <w:bookmarkEnd w:id="87"/>
    <w:bookmarkStart w:id="89"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88">
        <w:r>
          <w:rPr>
            <w:rStyle w:val="Hyperlink"/>
          </w:rPr>
          <w:t xml:space="preserve">10.3758/s13428-010-0028-x</w:t>
        </w:r>
      </w:hyperlink>
    </w:p>
    <w:bookmarkEnd w:id="89"/>
    <w:bookmarkStart w:id="91" w:name="ref-Lebani2016"/>
    <w:p>
      <w:pPr>
        <w:pStyle w:val="Textkrper"/>
      </w:pPr>
      <w:r>
        <w:t xml:space="preserve">Lebani, G. E., Lenci, A., &amp; Bondielli, A. (2016). You are what you do: An empirical characterization of the semantic content of the thematic roles for a group of Italian verbs.</w:t>
      </w:r>
      <w:r>
        <w:t xml:space="preserve"> </w:t>
      </w:r>
      <w:r>
        <w:rPr>
          <w:i/>
        </w:rPr>
        <w:t xml:space="preserve">Journal of Cognitive Science</w:t>
      </w:r>
      <w:r>
        <w:t xml:space="preserve">,</w:t>
      </w:r>
      <w:r>
        <w:t xml:space="preserve"> </w:t>
      </w:r>
      <w:r>
        <w:rPr>
          <w:i/>
        </w:rPr>
        <w:t xml:space="preserve">16</w:t>
      </w:r>
      <w:r>
        <w:t xml:space="preserve">(4), 401–430. doi:</w:t>
      </w:r>
      <w:hyperlink r:id="rId90">
        <w:r>
          <w:rPr>
            <w:rStyle w:val="Hyperlink"/>
          </w:rPr>
          <w:t xml:space="preserve">10.17791/jcs.2015.16.4.401</w:t>
        </w:r>
      </w:hyperlink>
    </w:p>
    <w:bookmarkEnd w:id="91"/>
    <w:bookmarkStart w:id="93"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92">
        <w:r>
          <w:rPr>
            <w:rStyle w:val="Hyperlink"/>
          </w:rPr>
          <w:t xml:space="preserve">10.3758/s13428-013-0323-4</w:t>
        </w:r>
      </w:hyperlink>
    </w:p>
    <w:bookmarkEnd w:id="93"/>
    <w:bookmarkStart w:id="95" w:name="ref-Marques2007a"/>
    <w:p>
      <w:pPr>
        <w:pStyle w:val="Textkrper"/>
      </w:pPr>
      <w:r>
        <w:t xml:space="preserve">Marques, J. F., Fonseca, F. L., Morais, S., &amp; Pinto, I. A. (2007). Estimated age of acquisition norms for 834 Portuguese nouns and their relation with other psycholinguistic variables.</w:t>
      </w:r>
      <w:r>
        <w:t xml:space="preserve"> </w:t>
      </w:r>
      <w:r>
        <w:rPr>
          <w:i/>
        </w:rPr>
        <w:t xml:space="preserve">Behavior Research Methods</w:t>
      </w:r>
      <w:r>
        <w:t xml:space="preserve">,</w:t>
      </w:r>
      <w:r>
        <w:t xml:space="preserve"> </w:t>
      </w:r>
      <w:r>
        <w:rPr>
          <w:i/>
        </w:rPr>
        <w:t xml:space="preserve">39</w:t>
      </w:r>
      <w:r>
        <w:t xml:space="preserve">(3), 439–444. doi:</w:t>
      </w:r>
      <w:hyperlink r:id="rId94">
        <w:r>
          <w:rPr>
            <w:rStyle w:val="Hyperlink"/>
          </w:rPr>
          <w:t xml:space="preserve">10.3758/BF03193013</w:t>
        </w:r>
      </w:hyperlink>
    </w:p>
    <w:bookmarkEnd w:id="95"/>
    <w:bookmarkStart w:id="97"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96">
        <w:r>
          <w:rPr>
            <w:rStyle w:val="Hyperlink"/>
          </w:rPr>
          <w:t xml:space="preserve">10.3758/BF03192726</w:t>
        </w:r>
      </w:hyperlink>
    </w:p>
    <w:bookmarkEnd w:id="97"/>
    <w:bookmarkStart w:id="99" w:name="ref-Michalke2018"/>
    <w:p>
      <w:pPr>
        <w:pStyle w:val="Textkrper"/>
      </w:pPr>
      <w:r>
        <w:t xml:space="preserve">Michalke, M. (2018). koRpus: An R package for text analysis. Retrieved from</w:t>
      </w:r>
      <w:r>
        <w:t xml:space="preserve"> </w:t>
      </w:r>
      <w:hyperlink r:id="rId98">
        <w:r>
          <w:rPr>
            <w:rStyle w:val="Hyperlink"/>
          </w:rPr>
          <w:t xml:space="preserve">https://cran.r-project.org/web/packages/koRpus/index.html</w:t>
        </w:r>
      </w:hyperlink>
    </w:p>
    <w:bookmarkEnd w:id="99"/>
    <w:bookmarkStart w:id="100" w:name="ref-Minsky1975"/>
    <w:p>
      <w:pPr>
        <w:pStyle w:val="Textkrper"/>
      </w:pPr>
      <w:r>
        <w:t xml:space="preserve">Minsky, M. (1975). A framework for representing knowledge. In P. H. Winston (Ed.),</w:t>
      </w:r>
      <w:r>
        <w:t xml:space="preserve"> </w:t>
      </w:r>
      <w:r>
        <w:rPr>
          <w:i/>
        </w:rPr>
        <w:t xml:space="preserve">The psychology of computer vision</w:t>
      </w:r>
      <w:r>
        <w:t xml:space="preserve"> </w:t>
      </w:r>
      <w:r>
        <w:t xml:space="preserve">(pp. 211–277). Winston, NY: McGraw Hill.</w:t>
      </w:r>
    </w:p>
    <w:bookmarkEnd w:id="100"/>
    <w:bookmarkStart w:id="102"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101">
        <w:r>
          <w:rPr>
            <w:rStyle w:val="Hyperlink"/>
          </w:rPr>
          <w:t xml:space="preserve">10.3758/s13428-012-0263-4</w:t>
        </w:r>
      </w:hyperlink>
    </w:p>
    <w:bookmarkEnd w:id="102"/>
    <w:bookmarkStart w:id="104" w:name="ref-Montefinese2014"/>
    <w:p>
      <w:pPr>
        <w:pStyle w:val="Textkrper"/>
      </w:pPr>
      <w:r>
        <w:t xml:space="preserve">Montefinese, M., Ambrosini, E., Fairfield, B., &amp; Mammarella, N. (2014). Semantic significance: a new measure of feature salience.</w:t>
      </w:r>
      <w:r>
        <w:t xml:space="preserve"> </w:t>
      </w:r>
      <w:r>
        <w:rPr>
          <w:i/>
        </w:rPr>
        <w:t xml:space="preserve">Memory &amp; Cognition</w:t>
      </w:r>
      <w:r>
        <w:t xml:space="preserve">,</w:t>
      </w:r>
      <w:r>
        <w:t xml:space="preserve"> </w:t>
      </w:r>
      <w:r>
        <w:rPr>
          <w:i/>
        </w:rPr>
        <w:t xml:space="preserve">42</w:t>
      </w:r>
      <w:r>
        <w:t xml:space="preserve">(3), 355–369. doi:</w:t>
      </w:r>
      <w:hyperlink r:id="rId103">
        <w:r>
          <w:rPr>
            <w:rStyle w:val="Hyperlink"/>
          </w:rPr>
          <w:t xml:space="preserve">10.3758/s13421-013-0365-y</w:t>
        </w:r>
      </w:hyperlink>
    </w:p>
    <w:bookmarkEnd w:id="104"/>
    <w:bookmarkStart w:id="106" w:name="ref-Montefinese2018"/>
    <w:p>
      <w:pPr>
        <w:pStyle w:val="Textkrper"/>
      </w:pPr>
      <w:r>
        <w:t xml:space="preserve">Montefinese, M., Vinson, D., &amp; Ambrosini, E. (2018). Recognition memory and featural similarity between concepts: The pupil’s point of view.</w:t>
      </w:r>
      <w:r>
        <w:t xml:space="preserve"> </w:t>
      </w:r>
      <w:r>
        <w:rPr>
          <w:i/>
        </w:rPr>
        <w:t xml:space="preserve">Biological Psychology</w:t>
      </w:r>
      <w:r>
        <w:t xml:space="preserve">,</w:t>
      </w:r>
      <w:r>
        <w:t xml:space="preserve"> </w:t>
      </w:r>
      <w:r>
        <w:rPr>
          <w:i/>
        </w:rPr>
        <w:t xml:space="preserve">135</w:t>
      </w:r>
      <w:r>
        <w:t xml:space="preserve">, 159–169. doi:</w:t>
      </w:r>
      <w:hyperlink r:id="rId105">
        <w:r>
          <w:rPr>
            <w:rStyle w:val="Hyperlink"/>
          </w:rPr>
          <w:t xml:space="preserve">10.1016/J.BIOPSYCHO.2018.04.004</w:t>
        </w:r>
      </w:hyperlink>
    </w:p>
    <w:bookmarkEnd w:id="106"/>
    <w:bookmarkStart w:id="108" w:name="ref-Montefinese2015"/>
    <w:p>
      <w:pPr>
        <w:pStyle w:val="Textkrper"/>
      </w:pPr>
      <w:r>
        <w:t xml:space="preserve">Montefinese, M., Zannino, G. D., &amp; Ambrosini, E. (2015). Semantic similarity between old and new items produces false alarms in recognition memory.</w:t>
      </w:r>
      <w:r>
        <w:t xml:space="preserve"> </w:t>
      </w:r>
      <w:r>
        <w:rPr>
          <w:i/>
        </w:rPr>
        <w:t xml:space="preserve">Psychological Research</w:t>
      </w:r>
      <w:r>
        <w:t xml:space="preserve">,</w:t>
      </w:r>
      <w:r>
        <w:t xml:space="preserve"> </w:t>
      </w:r>
      <w:r>
        <w:rPr>
          <w:i/>
        </w:rPr>
        <w:t xml:space="preserve">79</w:t>
      </w:r>
      <w:r>
        <w:t xml:space="preserve">(5), 785–794. doi:</w:t>
      </w:r>
      <w:hyperlink r:id="rId107">
        <w:r>
          <w:rPr>
            <w:rStyle w:val="Hyperlink"/>
          </w:rPr>
          <w:t xml:space="preserve">10.1007/s00426-014-0615-z</w:t>
        </w:r>
      </w:hyperlink>
    </w:p>
    <w:bookmarkEnd w:id="108"/>
    <w:bookmarkStart w:id="109" w:name="ref-Norman1975"/>
    <w:p>
      <w:pPr>
        <w:pStyle w:val="Textkrper"/>
      </w:pPr>
      <w:r>
        <w:t xml:space="preserve">Norman, D. A., &amp; Rumelhart, D. E. (1975).</w:t>
      </w:r>
      <w:r>
        <w:t xml:space="preserve"> </w:t>
      </w:r>
      <w:r>
        <w:rPr>
          <w:i/>
        </w:rPr>
        <w:t xml:space="preserve">Explorations in cognition</w:t>
      </w:r>
      <w:r>
        <w:t xml:space="preserve">. San Francisco, CA: Freeman.</w:t>
      </w:r>
    </w:p>
    <w:bookmarkEnd w:id="109"/>
    <w:bookmarkStart w:id="111" w:name="ref-Nosek2015"/>
    <w:p>
      <w:pPr>
        <w:pStyle w:val="Textkrper"/>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 doi:</w:t>
      </w:r>
      <w:hyperlink r:id="rId110">
        <w:r>
          <w:rPr>
            <w:rStyle w:val="Hyperlink"/>
          </w:rPr>
          <w:t xml:space="preserve">10.1126/science.aab2374</w:t>
        </w:r>
      </w:hyperlink>
    </w:p>
    <w:bookmarkEnd w:id="111"/>
    <w:bookmarkStart w:id="113" w:name="ref-Ooms2018"/>
    <w:p>
      <w:pPr>
        <w:pStyle w:val="Textkrper"/>
      </w:pPr>
      <w:r>
        <w:t xml:space="preserve">Ooms, J. (2018). The hunspell package: High-Performance Stemmer, Tokenizer, and Spell Checker for R. Retrieved from</w:t>
      </w:r>
      <w:r>
        <w:t xml:space="preserve"> </w:t>
      </w:r>
      <w:hyperlink r:id="rId112">
        <w:r>
          <w:rPr>
            <w:rStyle w:val="Hyperlink"/>
          </w:rPr>
          <w:t xml:space="preserve">https://cran.r-project.org/web/packages/hunspell/</w:t>
        </w:r>
      </w:hyperlink>
    </w:p>
    <w:bookmarkEnd w:id="113"/>
    <w:bookmarkStart w:id="115" w:name="ref-Peng2011"/>
    <w:p>
      <w:pPr>
        <w:pStyle w:val="Textkrper"/>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1226–7. doi:</w:t>
      </w:r>
      <w:hyperlink r:id="rId114">
        <w:r>
          <w:rPr>
            <w:rStyle w:val="Hyperlink"/>
          </w:rPr>
          <w:t xml:space="preserve">10.1126/science.1213847</w:t>
        </w:r>
      </w:hyperlink>
    </w:p>
    <w:bookmarkEnd w:id="115"/>
    <w:bookmarkStart w:id="117" w:name="ref-Pexman2008"/>
    <w:p>
      <w:pPr>
        <w:pStyle w:val="Textkrper"/>
      </w:pPr>
      <w:r>
        <w:t xml:space="preserve">Pexman, P. M., Hargreaves, I. S., Siakaluk, P. D., Bodner, G. E., &amp; Pope, J. (2008). There are many ways to be rich: Effects of three measures of semantic richness on visual word recognition.</w:t>
      </w:r>
      <w:r>
        <w:t xml:space="preserve"> </w:t>
      </w:r>
      <w:r>
        <w:rPr>
          <w:i/>
        </w:rPr>
        <w:t xml:space="preserve">Psychonomic Bulletin &amp; Review</w:t>
      </w:r>
      <w:r>
        <w:t xml:space="preserve">,</w:t>
      </w:r>
      <w:r>
        <w:t xml:space="preserve"> </w:t>
      </w:r>
      <w:r>
        <w:rPr>
          <w:i/>
        </w:rPr>
        <w:t xml:space="preserve">15</w:t>
      </w:r>
      <w:r>
        <w:t xml:space="preserve">(1), 161–167. doi:</w:t>
      </w:r>
      <w:hyperlink r:id="rId116">
        <w:r>
          <w:rPr>
            <w:rStyle w:val="Hyperlink"/>
          </w:rPr>
          <w:t xml:space="preserve">10.3758/PBR.15.1.161</w:t>
        </w:r>
      </w:hyperlink>
    </w:p>
    <w:bookmarkEnd w:id="117"/>
    <w:bookmarkStart w:id="119" w:name="ref-Plaut2002"/>
    <w:p>
      <w:pPr>
        <w:pStyle w:val="Textkrper"/>
      </w:pPr>
      <w:r>
        <w:t xml:space="preserve">Plaut, D. C. (2002). Graded modality-specific specialisation in semantics: A computational account of optic aphasia.</w:t>
      </w:r>
      <w:r>
        <w:t xml:space="preserve"> </w:t>
      </w:r>
      <w:r>
        <w:rPr>
          <w:i/>
        </w:rPr>
        <w:t xml:space="preserve">Cognitive Neuropsychology</w:t>
      </w:r>
      <w:r>
        <w:t xml:space="preserve">,</w:t>
      </w:r>
      <w:r>
        <w:t xml:space="preserve"> </w:t>
      </w:r>
      <w:r>
        <w:rPr>
          <w:i/>
        </w:rPr>
        <w:t xml:space="preserve">19</w:t>
      </w:r>
      <w:r>
        <w:t xml:space="preserve">(7), 603–639. doi:</w:t>
      </w:r>
      <w:hyperlink r:id="rId118">
        <w:r>
          <w:rPr>
            <w:rStyle w:val="Hyperlink"/>
          </w:rPr>
          <w:t xml:space="preserve">10.1080/02643290244000112</w:t>
        </w:r>
      </w:hyperlink>
    </w:p>
    <w:bookmarkEnd w:id="119"/>
    <w:bookmarkStart w:id="121" w:name="ref-Recchia2012"/>
    <w:p>
      <w:pPr>
        <w:pStyle w:val="Textkrper"/>
      </w:pPr>
      <w:r>
        <w:t xml:space="preserve">Recchia, G., &amp; Jones, M. N. (2012). The semantic richness of abstract concepts.</w:t>
      </w:r>
      <w:r>
        <w:t xml:space="preserve"> </w:t>
      </w:r>
      <w:r>
        <w:rPr>
          <w:i/>
        </w:rPr>
        <w:t xml:space="preserve">Frontiers in Human Neuroscience</w:t>
      </w:r>
      <w:r>
        <w:t xml:space="preserve">,</w:t>
      </w:r>
      <w:r>
        <w:t xml:space="preserve"> </w:t>
      </w:r>
      <w:r>
        <w:rPr>
          <w:i/>
        </w:rPr>
        <w:t xml:space="preserve">6</w:t>
      </w:r>
      <w:r>
        <w:t xml:space="preserve">, 315. doi:</w:t>
      </w:r>
      <w:hyperlink r:id="rId120">
        <w:r>
          <w:rPr>
            <w:rStyle w:val="Hyperlink"/>
          </w:rPr>
          <w:t xml:space="preserve">10.3389/fnhum.2012.00315</w:t>
        </w:r>
      </w:hyperlink>
    </w:p>
    <w:bookmarkEnd w:id="121"/>
    <w:bookmarkStart w:id="123" w:name="ref-Rogers2004"/>
    <w:p>
      <w:pPr>
        <w:pStyle w:val="Textkrper"/>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122">
        <w:r>
          <w:rPr>
            <w:rStyle w:val="Hyperlink"/>
          </w:rPr>
          <w:t xml:space="preserve">10.1037/0033-295X.111.1.205</w:t>
        </w:r>
      </w:hyperlink>
    </w:p>
    <w:bookmarkEnd w:id="123"/>
    <w:bookmarkStart w:id="125"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124">
        <w:r>
          <w:rPr>
            <w:rStyle w:val="Hyperlink"/>
          </w:rPr>
          <w:t xml:space="preserve">10.1016/0010-0285(75)90024-9</w:t>
        </w:r>
      </w:hyperlink>
    </w:p>
    <w:bookmarkEnd w:id="125"/>
    <w:bookmarkStart w:id="127"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126">
        <w:r>
          <w:rPr>
            <w:rStyle w:val="Hyperlink"/>
          </w:rPr>
          <w:t xml:space="preserve">10.3758/BF03195597</w:t>
        </w:r>
      </w:hyperlink>
    </w:p>
    <w:bookmarkEnd w:id="127"/>
    <w:bookmarkStart w:id="128" w:name="ref-Saffran1999"/>
    <w:p>
      <w:pPr>
        <w:pStyle w:val="Textkrper"/>
      </w:pPr>
      <w:r>
        <w:t xml:space="preserve">Saffran, E., &amp; Sholl, A. (1999). Clues to the function and neural architecture of word meaning. In P. Hogoort &amp; C. Brown (Eds.),</w:t>
      </w:r>
      <w:r>
        <w:t xml:space="preserve"> </w:t>
      </w:r>
      <w:r>
        <w:rPr>
          <w:i/>
        </w:rPr>
        <w:t xml:space="preserve">The neurocognition of language</w:t>
      </w:r>
      <w:r>
        <w:t xml:space="preserve">. Oxford University Press.</w:t>
      </w:r>
    </w:p>
    <w:bookmarkEnd w:id="128"/>
    <w:bookmarkStart w:id="130" w:name="ref-Santos2011"/>
    <w:p>
      <w:pPr>
        <w:pStyle w:val="Textkrper"/>
      </w:pPr>
      <w:r>
        <w:t xml:space="preserve">Santos, A., Chaigneau, S. E., Simmons, W. K., &amp; Barsalou, L. W. (2011). Property generation reflects word association and situated simulation.</w:t>
      </w:r>
      <w:r>
        <w:t xml:space="preserve"> </w:t>
      </w:r>
      <w:r>
        <w:rPr>
          <w:i/>
        </w:rPr>
        <w:t xml:space="preserve">Language and Cognition</w:t>
      </w:r>
      <w:r>
        <w:t xml:space="preserve">,</w:t>
      </w:r>
      <w:r>
        <w:t xml:space="preserve"> </w:t>
      </w:r>
      <w:r>
        <w:rPr>
          <w:i/>
        </w:rPr>
        <w:t xml:space="preserve">3</w:t>
      </w:r>
      <w:r>
        <w:t xml:space="preserve">(1), 83–119. doi:</w:t>
      </w:r>
      <w:hyperlink r:id="rId129">
        <w:r>
          <w:rPr>
            <w:rStyle w:val="Hyperlink"/>
          </w:rPr>
          <w:t xml:space="preserve">10.1515/langcog.2011.004</w:t>
        </w:r>
      </w:hyperlink>
    </w:p>
    <w:bookmarkEnd w:id="130"/>
    <w:bookmarkStart w:id="132" w:name="ref-Sartori2004"/>
    <w:p>
      <w:pPr>
        <w:pStyle w:val="Textkrper"/>
      </w:pPr>
      <w:r>
        <w:t xml:space="preserve">Sartori, G., &amp; Lombardi, L. (2004). Semantic relevance and semantic disorders.</w:t>
      </w:r>
      <w:r>
        <w:t xml:space="preserve"> </w:t>
      </w:r>
      <w:r>
        <w:rPr>
          <w:i/>
        </w:rPr>
        <w:t xml:space="preserve">Journal of Cognitive Neuroscience</w:t>
      </w:r>
      <w:r>
        <w:t xml:space="preserve">,</w:t>
      </w:r>
      <w:r>
        <w:t xml:space="preserve"> </w:t>
      </w:r>
      <w:r>
        <w:rPr>
          <w:i/>
        </w:rPr>
        <w:t xml:space="preserve">16</w:t>
      </w:r>
      <w:r>
        <w:t xml:space="preserve">(3), 439–452. doi:</w:t>
      </w:r>
      <w:hyperlink r:id="rId131">
        <w:r>
          <w:rPr>
            <w:rStyle w:val="Hyperlink"/>
          </w:rPr>
          <w:t xml:space="preserve">10.1162/089892904322926773</w:t>
        </w:r>
      </w:hyperlink>
    </w:p>
    <w:bookmarkEnd w:id="132"/>
    <w:bookmarkStart w:id="134" w:name="ref-Schmid1994"/>
    <w:p>
      <w:pPr>
        <w:pStyle w:val="Textkrper"/>
      </w:pPr>
      <w:r>
        <w:t xml:space="preserve">Schmid, H. (1994). Probabilistic part of speech tagging using decision trees. doi:</w:t>
      </w:r>
      <w:hyperlink r:id="rId133">
        <w:r>
          <w:rPr>
            <w:rStyle w:val="Hyperlink"/>
          </w:rPr>
          <w:t xml:space="preserve">10.1.1.28.1139</w:t>
        </w:r>
      </w:hyperlink>
    </w:p>
    <w:bookmarkEnd w:id="134"/>
    <w:bookmarkStart w:id="136" w:name="ref-Smith1974"/>
    <w:p>
      <w:pPr>
        <w:pStyle w:val="Textkrper"/>
      </w:pPr>
      <w:r>
        <w:t xml:space="preserve">Smith, E. E., Shoben, E. J., &amp; Rips, L. J. (1974). Structure and process in semantic memory: A featural model for semantic decisions.</w:t>
      </w:r>
      <w:r>
        <w:t xml:space="preserve"> </w:t>
      </w:r>
      <w:r>
        <w:rPr>
          <w:i/>
        </w:rPr>
        <w:t xml:space="preserve">Psychological Review</w:t>
      </w:r>
      <w:r>
        <w:t xml:space="preserve">,</w:t>
      </w:r>
      <w:r>
        <w:t xml:space="preserve"> </w:t>
      </w:r>
      <w:r>
        <w:rPr>
          <w:i/>
        </w:rPr>
        <w:t xml:space="preserve">81</w:t>
      </w:r>
      <w:r>
        <w:t xml:space="preserve">(3), 214–241. doi:</w:t>
      </w:r>
      <w:hyperlink r:id="rId135">
        <w:r>
          <w:rPr>
            <w:rStyle w:val="Hyperlink"/>
          </w:rPr>
          <w:t xml:space="preserve">10.1037/h0036351</w:t>
        </w:r>
      </w:hyperlink>
    </w:p>
    <w:bookmarkEnd w:id="136"/>
    <w:bookmarkStart w:id="137" w:name="ref-Smith1981"/>
    <w:p>
      <w:pPr>
        <w:pStyle w:val="Textkrper"/>
      </w:pPr>
      <w:r>
        <w:t xml:space="preserve">Smith, E., &amp; Medin, D. L. (1981).</w:t>
      </w:r>
      <w:r>
        <w:t xml:space="preserve"> </w:t>
      </w:r>
      <w:r>
        <w:rPr>
          <w:i/>
        </w:rPr>
        <w:t xml:space="preserve">Categories and concepts (Vol. 9)</w:t>
      </w:r>
      <w:r>
        <w:t xml:space="preserve">. Cambridge, MA: Harvard University Press.</w:t>
      </w:r>
    </w:p>
    <w:bookmarkEnd w:id="137"/>
    <w:bookmarkStart w:id="139" w:name="ref-Ushey2018"/>
    <w:p>
      <w:pPr>
        <w:pStyle w:val="Textkrper"/>
      </w:pPr>
      <w:r>
        <w:t xml:space="preserve">Ushey, K., McPherson, J., Cheng, J., Atkins, A., &amp; Allaire, J. (2018). packrat: A dependency management system for projects and their R rackage dependencies. Retrieved from</w:t>
      </w:r>
      <w:r>
        <w:t xml:space="preserve"> </w:t>
      </w:r>
      <w:hyperlink r:id="rId138">
        <w:r>
          <w:rPr>
            <w:rStyle w:val="Hyperlink"/>
          </w:rPr>
          <w:t xml:space="preserve">https://cran.r-project.org/web/packages/packrat/index.html</w:t>
        </w:r>
      </w:hyperlink>
    </w:p>
    <w:bookmarkEnd w:id="139"/>
    <w:bookmarkStart w:id="141" w:name="ref-Vigliocco2004"/>
    <w:p>
      <w:pPr>
        <w:pStyle w:val="Textkrper"/>
      </w:pPr>
      <w:r>
        <w:t xml:space="preserve">Vigliocco, G., Vinson, D. P., Lewis, W., &amp; Garrett, M. F. (2004). Representing the meanings of object and action words: The featural and unitary semantic space hypothesis.</w:t>
      </w:r>
      <w:r>
        <w:t xml:space="preserve"> </w:t>
      </w:r>
      <w:r>
        <w:rPr>
          <w:i/>
        </w:rPr>
        <w:t xml:space="preserve">Cognitive Psychology</w:t>
      </w:r>
      <w:r>
        <w:t xml:space="preserve">,</w:t>
      </w:r>
      <w:r>
        <w:t xml:space="preserve"> </w:t>
      </w:r>
      <w:r>
        <w:rPr>
          <w:i/>
        </w:rPr>
        <w:t xml:space="preserve">48</w:t>
      </w:r>
      <w:r>
        <w:t xml:space="preserve">(4), 422–488. doi:</w:t>
      </w:r>
      <w:hyperlink r:id="rId140">
        <w:r>
          <w:rPr>
            <w:rStyle w:val="Hyperlink"/>
          </w:rPr>
          <w:t xml:space="preserve">10.1016/j.cogpsych.2003.09.001</w:t>
        </w:r>
      </w:hyperlink>
    </w:p>
    <w:bookmarkEnd w:id="141"/>
    <w:bookmarkStart w:id="143"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142">
        <w:r>
          <w:rPr>
            <w:rStyle w:val="Hyperlink"/>
          </w:rPr>
          <w:t xml:space="preserve">10.3758/BRM.40.1.183</w:t>
        </w:r>
      </w:hyperlink>
    </w:p>
    <w:bookmarkEnd w:id="143"/>
    <w:bookmarkStart w:id="145"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144">
        <w:r>
          <w:rPr>
            <w:rStyle w:val="Hyperlink"/>
          </w:rPr>
          <w:t xml:space="preserve">10.3758/s13428-016-0777-2</w:t>
        </w:r>
      </w:hyperlink>
    </w:p>
    <w:bookmarkEnd w:id="145"/>
    <w:bookmarkStart w:id="147" w:name="ref-Wickham2019"/>
    <w:p>
      <w:pPr>
        <w:pStyle w:val="Textkrper"/>
      </w:pPr>
      <w:r>
        <w:t xml:space="preserve">Wickham, H., Francios, R., Henry, L., Muller, K., &amp; Rstudio. (2019). dplyr: A grammar of data manipulation. Retrieved from</w:t>
      </w:r>
      <w:r>
        <w:t xml:space="preserve"> </w:t>
      </w:r>
      <w:hyperlink r:id="rId146">
        <w:r>
          <w:rPr>
            <w:rStyle w:val="Hyperlink"/>
          </w:rPr>
          <w:t xml:space="preserve">https://cloud.r-project.org/web/packages/dplyr/index.html</w:t>
        </w:r>
      </w:hyperlink>
    </w:p>
    <w:bookmarkEnd w:id="147"/>
    <w:bookmarkStart w:id="149" w:name="ref-KatjaWiemer-Hastings2005"/>
    <w:p>
      <w:pPr>
        <w:pStyle w:val="Textkrper"/>
      </w:pPr>
      <w:r>
        <w:t xml:space="preserve">Wiemer-Hastings, K., &amp; Xu, X. (2005). Content differences for abstract and concrete concepts.</w:t>
      </w:r>
      <w:r>
        <w:t xml:space="preserve"> </w:t>
      </w:r>
      <w:r>
        <w:rPr>
          <w:i/>
        </w:rPr>
        <w:t xml:space="preserve">Cognitive Science</w:t>
      </w:r>
      <w:r>
        <w:t xml:space="preserve">,</w:t>
      </w:r>
      <w:r>
        <w:t xml:space="preserve"> </w:t>
      </w:r>
      <w:r>
        <w:rPr>
          <w:i/>
        </w:rPr>
        <w:t xml:space="preserve">29</w:t>
      </w:r>
      <w:r>
        <w:t xml:space="preserve">(5), 719–736. doi:</w:t>
      </w:r>
      <w:hyperlink r:id="rId148">
        <w:r>
          <w:rPr>
            <w:rStyle w:val="Hyperlink"/>
          </w:rPr>
          <w:t xml:space="preserve">10.1207/s15516709cog0000_33</w:t>
        </w:r>
      </w:hyperlink>
    </w:p>
    <w:bookmarkEnd w:id="149"/>
    <w:bookmarkStart w:id="151"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150">
        <w:r>
          <w:rPr>
            <w:rStyle w:val="Hyperlink"/>
          </w:rPr>
          <w:t xml:space="preserve">10.1016/j.actpsy.2009.02.002</w:t>
        </w:r>
      </w:hyperlink>
    </w:p>
    <w:bookmarkEnd w:id="151"/>
    <w:bookmarkStart w:id="153" w:name="ref-DanieleZannino2006"/>
    <w:p>
      <w:pPr>
        <w:pStyle w:val="Textkrper"/>
      </w:pPr>
      <w:r>
        <w:t xml:space="preserve">Zannino, G. D., Perri, R., Pasqualetti, P., Caltagirone, C., &amp; Carlesimo, G. A. (2006a). Analysis of the semantic representations of living and nonliving concepts: A normative study.</w:t>
      </w:r>
      <w:r>
        <w:t xml:space="preserve"> </w:t>
      </w:r>
      <w:r>
        <w:rPr>
          <w:i/>
        </w:rPr>
        <w:t xml:space="preserve">Cognitive Neuropsychology</w:t>
      </w:r>
      <w:r>
        <w:t xml:space="preserve">,</w:t>
      </w:r>
      <w:r>
        <w:t xml:space="preserve"> </w:t>
      </w:r>
      <w:r>
        <w:rPr>
          <w:i/>
        </w:rPr>
        <w:t xml:space="preserve">23</w:t>
      </w:r>
      <w:r>
        <w:t xml:space="preserve">(4), 515–540. doi:</w:t>
      </w:r>
      <w:hyperlink r:id="rId152">
        <w:r>
          <w:rPr>
            <w:rStyle w:val="Hyperlink"/>
          </w:rPr>
          <w:t xml:space="preserve">10.1080/02643290542000067</w:t>
        </w:r>
      </w:hyperlink>
    </w:p>
    <w:bookmarkEnd w:id="153"/>
    <w:bookmarkStart w:id="155" w:name="ref-Zannino2006"/>
    <w:p>
      <w:pPr>
        <w:pStyle w:val="Textkrper"/>
      </w:pPr>
      <w:r>
        <w:t xml:space="preserve">Zannino, G. D., Perri, R., Pasqualetti, P., Caltagirone, C., &amp; Carlesimo, G. A. (2006b). (Category-specific) semantic deficit in Alzheimer’s patients: The role of semantic distance.</w:t>
      </w:r>
      <w:r>
        <w:t xml:space="preserve"> </w:t>
      </w:r>
      <w:r>
        <w:rPr>
          <w:i/>
        </w:rPr>
        <w:t xml:space="preserve">Neuropsychologia</w:t>
      </w:r>
      <w:r>
        <w:t xml:space="preserve">,</w:t>
      </w:r>
      <w:r>
        <w:t xml:space="preserve"> </w:t>
      </w:r>
      <w:r>
        <w:rPr>
          <w:i/>
        </w:rPr>
        <w:t xml:space="preserve">44</w:t>
      </w:r>
      <w:r>
        <w:t xml:space="preserve">(1), 52–61. doi:</w:t>
      </w:r>
      <w:hyperlink r:id="rId154">
        <w:r>
          <w:rPr>
            <w:rStyle w:val="Hyperlink"/>
          </w:rPr>
          <w:t xml:space="preserve">10.1016/j.neuropsychologia.2005.04.008</w:t>
        </w:r>
      </w:hyperlink>
    </w:p>
    <w:bookmarkEnd w:id="155"/>
    <w:bookmarkEnd w:id="15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Throughout this article, features will be distinguished from cues using angular brackets and italic font.</w:t>
      </w:r>
    </w:p>
  </w:footnote>
  <w:footnote w:id="26">
    <w:p>
      <w:pPr>
        <w:pStyle w:val="Funotentext"/>
      </w:pPr>
      <w:r>
        <w:rPr>
          <w:rStyle w:val="Funotenzeichen"/>
        </w:rPr>
        <w:footnoteRef/>
      </w:r>
      <w:r>
        <w:t xml:space="preserve"> </w:t>
      </w:r>
      <w:r>
        <w:t xml:space="preserve">A</w:t>
      </w:r>
      <w:r>
        <w:t xml:space="preserve"> </w:t>
      </w:r>
      <w:r>
        <w:rPr>
          <w:rStyle w:val="VerbatimChar"/>
        </w:rPr>
        <w:t xml:space="preserve">packrat</w:t>
      </w:r>
      <w:r>
        <w:t xml:space="preserve"> </w:t>
      </w:r>
      <w:r>
        <w:t xml:space="preserve">project compilation is available on GitHub for reproducibility</w:t>
      </w:r>
      <w:r>
        <w:t xml:space="preserve"> </w:t>
      </w:r>
      <w:r>
        <w:t xml:space="preserve">(Ushey, McPherson, Cheng, Atkins, &amp; Allaire, 2018)</w:t>
      </w:r>
      <w:r>
        <w:t xml:space="preserve">, and this manuscript was written in Rmarkdown with</w:t>
      </w:r>
      <w:r>
        <w:t xml:space="preserve"> </w:t>
      </w:r>
      <w:r>
        <w:rPr>
          <w:rStyle w:val="VerbatimChar"/>
        </w:rPr>
        <w:t xml:space="preserve">papaja</w:t>
      </w:r>
      <w:r>
        <w:t xml:space="preserve"> </w:t>
      </w:r>
      <w:r>
        <w:t xml:space="preserve">(Aust &amp; Barth, 2017)</w:t>
      </w:r>
      <w:r>
        <w:t xml:space="preserve">.</w:t>
      </w:r>
    </w:p>
  </w:footnote>
  <w:footnote w:id="30">
    <w:p>
      <w:pPr>
        <w:pStyle w:val="Funotentext"/>
      </w:pPr>
      <w:r>
        <w:rPr>
          <w:rStyle w:val="Funotenzeichen"/>
        </w:rPr>
        <w:footnoteRef/>
      </w:r>
      <w:r>
        <w:t xml:space="preserve"> </w:t>
      </w:r>
      <w:r>
        <w:t xml:space="preserve">We mainly focus on lemmatization and do not proceed stemming the word because it introduces additional ambiguity. More specifically,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 AIRPLANE, &lt;</w:t>
      </w:r>
      <w:r>
        <w:rPr>
          <w:i/>
        </w:rPr>
        <w:t xml:space="preserve">flying</w:t>
      </w:r>
      <w:r>
        <w:t xml:space="preserve">&gt; can be easily converted to &lt;</w:t>
      </w:r>
      <w:r>
        <w:rPr>
          <w:i/>
        </w:rPr>
        <w:t xml:space="preserve">fly</w:t>
      </w:r>
      <w:r>
        <w:t xml:space="preserve">&gt; by removing the</w:t>
      </w:r>
      <w:r>
        <w:t xml:space="preserve"> </w:t>
      </w:r>
      <w:r>
        <w:rPr>
          <w:i/>
        </w:rPr>
        <w:t xml:space="preserve">ing</w:t>
      </w:r>
      <w:r>
        <w:t xml:space="preserve"> </w:t>
      </w:r>
      <w:r>
        <w:t xml:space="preserve">inflection. However, this same heuristic converts the feature &lt;</w:t>
      </w:r>
      <w:r>
        <w:rPr>
          <w:i/>
        </w:rPr>
        <w:t xml:space="preserve">wings</w:t>
      </w:r>
      <w:r>
        <w:t xml:space="preserve">&gt; into &lt;</w:t>
      </w:r>
      <w:r>
        <w:rPr>
          <w:i/>
        </w:rPr>
        <w:t xml:space="preserve">w</w:t>
      </w:r>
      <w:r>
        <w:t xml:space="preserve">&gt; 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footnote>
  <w:footnote w:id="40">
    <w:p>
      <w:pPr>
        <w:pStyle w:val="Funotentext"/>
      </w:pPr>
      <w:r>
        <w:rPr>
          <w:rStyle w:val="Funotenzeichen"/>
        </w:rPr>
        <w:footnoteRef/>
      </w:r>
      <w:r>
        <w:t xml:space="preserve"> </w:t>
      </w:r>
      <w:r>
        <w:t xml:space="preserve">These results were lemmatized by creating a lookup dictionary from the features listed in the</w:t>
      </w:r>
      <w:r>
        <w:t xml:space="preserve"> </w:t>
      </w:r>
      <w:r>
        <w:t xml:space="preserve">Buchanan et al. (2019)</w:t>
      </w:r>
      <w:r>
        <w:t xml:space="preserve"> </w:t>
      </w:r>
      <w:r>
        <w:t xml:space="preserve">norms.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146" Target="https://cloud.r-project.org/web/packages/dplyr/index.html" TargetMode="External" /><Relationship Type="http://schemas.openxmlformats.org/officeDocument/2006/relationships/hyperlink" Id="rId112" Target="https://cran.r-project.org/web/packages/hunspell/" TargetMode="External" /><Relationship Type="http://schemas.openxmlformats.org/officeDocument/2006/relationships/hyperlink" Id="rId98" Target="https://cran.r-project.org/web/packages/koRpus/index.html" TargetMode="External" /><Relationship Type="http://schemas.openxmlformats.org/officeDocument/2006/relationships/hyperlink" Id="rId138" Target="https://cran.r-project.org/web/packages/packrat/index.html" TargetMode="External" /><Relationship Type="http://schemas.openxmlformats.org/officeDocument/2006/relationships/hyperlink" Id="rId51" Target="https://cran.r-project.org/web/packages/stopwords/index.html" TargetMode="External" /><Relationship Type="http://schemas.openxmlformats.org/officeDocument/2006/relationships/hyperlink" Id="rId81" Target="https://cran.r-project.org/web/packages/stringi/index.html" TargetMode="External" /><Relationship Type="http://schemas.openxmlformats.org/officeDocument/2006/relationships/hyperlink" Id="rId69" Target="https://cran.r-project.org/web/packages/tidytext/index.html" TargetMode="External" /><Relationship Type="http://schemas.openxmlformats.org/officeDocument/2006/relationships/hyperlink" Id="rId133" Target="https://doi.org/10.1.1.28.1139" TargetMode="External" /><Relationship Type="http://schemas.openxmlformats.org/officeDocument/2006/relationships/hyperlink" Id="rId107" Target="https://doi.org/10.1007/s00426-014-0615-z" TargetMode="External" /><Relationship Type="http://schemas.openxmlformats.org/officeDocument/2006/relationships/hyperlink" Id="rId61" Target="https://doi.org/10.1016/0010-0277(88)90017-0" TargetMode="External" /><Relationship Type="http://schemas.openxmlformats.org/officeDocument/2006/relationships/hyperlink" Id="rId124" Target="https://doi.org/10.1016/0010-0285(75)90024-9" TargetMode="External" /><Relationship Type="http://schemas.openxmlformats.org/officeDocument/2006/relationships/hyperlink" Id="rId63" Target="https://doi.org/10.1016/J.BANDL.2015.05.007" TargetMode="External" /><Relationship Type="http://schemas.openxmlformats.org/officeDocument/2006/relationships/hyperlink" Id="rId105" Target="https://doi.org/10.1016/J.BIOPSYCHO.2018.04.004" TargetMode="External" /><Relationship Type="http://schemas.openxmlformats.org/officeDocument/2006/relationships/hyperlink" Id="rId65" Target="https://doi.org/10.1016/S0022-5371(69)80069-1" TargetMode="External" /><Relationship Type="http://schemas.openxmlformats.org/officeDocument/2006/relationships/hyperlink" Id="rId150" Target="https://doi.org/10.1016/j.actpsy.2009.02.002" TargetMode="External" /><Relationship Type="http://schemas.openxmlformats.org/officeDocument/2006/relationships/hyperlink" Id="rId75" Target="https://doi.org/10.1016/j.bandc.2009.04.007" TargetMode="External" /><Relationship Type="http://schemas.openxmlformats.org/officeDocument/2006/relationships/hyperlink" Id="rId140" Target="https://doi.org/10.1016/j.cogpsych.2003.09.001" TargetMode="External" /><Relationship Type="http://schemas.openxmlformats.org/officeDocument/2006/relationships/hyperlink" Id="rId77" Target="https://doi.org/10.1016/j.cortex.2013.05.010" TargetMode="External" /><Relationship Type="http://schemas.openxmlformats.org/officeDocument/2006/relationships/hyperlink" Id="rId154" Target="https://doi.org/10.1016/j.neuropsychologia.2005.04.008" TargetMode="External" /><Relationship Type="http://schemas.openxmlformats.org/officeDocument/2006/relationships/hyperlink" Id="rId122" Target="https://doi.org/10.1037/0033-295X.111.1.205" TargetMode="External" /><Relationship Type="http://schemas.openxmlformats.org/officeDocument/2006/relationships/hyperlink" Id="rId79" Target="https://doi.org/10.1037/0096-3445.120.4.339" TargetMode="External" /><Relationship Type="http://schemas.openxmlformats.org/officeDocument/2006/relationships/hyperlink" Id="rId67" Target="https://doi.org/10.1037/0096-3445.132.2.163" TargetMode="External" /><Relationship Type="http://schemas.openxmlformats.org/officeDocument/2006/relationships/hyperlink" Id="rId135" Target="https://doi.org/10.1037/h0036351" TargetMode="External" /><Relationship Type="http://schemas.openxmlformats.org/officeDocument/2006/relationships/hyperlink" Id="rId83" Target="https://doi.org/10.1080/02643290125857" TargetMode="External" /><Relationship Type="http://schemas.openxmlformats.org/officeDocument/2006/relationships/hyperlink" Id="rId118" Target="https://doi.org/10.1080/02643290244000112" TargetMode="External" /><Relationship Type="http://schemas.openxmlformats.org/officeDocument/2006/relationships/hyperlink" Id="rId152" Target="https://doi.org/10.1080/02643290542000067" TargetMode="External" /><Relationship Type="http://schemas.openxmlformats.org/officeDocument/2006/relationships/hyperlink" Id="rId49" Target="https://doi.org/10.1111/j.1551-6709.2009.01068.x" TargetMode="External" /><Relationship Type="http://schemas.openxmlformats.org/officeDocument/2006/relationships/hyperlink" Id="rId114" Target="https://doi.org/10.1126/science.1213847" TargetMode="External" /><Relationship Type="http://schemas.openxmlformats.org/officeDocument/2006/relationships/hyperlink" Id="rId110" Target="https://doi.org/10.1126/science.aab2374" TargetMode="External" /><Relationship Type="http://schemas.openxmlformats.org/officeDocument/2006/relationships/hyperlink" Id="rId131" Target="https://doi.org/10.1162/089892904322926773" TargetMode="External" /><Relationship Type="http://schemas.openxmlformats.org/officeDocument/2006/relationships/hyperlink" Id="rId148" Target="https://doi.org/10.1207/s15516709cog0000_33" TargetMode="External" /><Relationship Type="http://schemas.openxmlformats.org/officeDocument/2006/relationships/hyperlink" Id="rId129" Target="https://doi.org/10.1515/langcog.2011.004" TargetMode="External" /><Relationship Type="http://schemas.openxmlformats.org/officeDocument/2006/relationships/hyperlink" Id="rId53" Target="https://doi.org/10.1613/jair.4135" TargetMode="External" /><Relationship Type="http://schemas.openxmlformats.org/officeDocument/2006/relationships/hyperlink" Id="rId90" Target="https://doi.org/10.17791/jcs.2015.16.4.401" TargetMode="External" /><Relationship Type="http://schemas.openxmlformats.org/officeDocument/2006/relationships/hyperlink" Id="rId120" Target="https://doi.org/10.3389/fnhum.2012.00315" TargetMode="External" /><Relationship Type="http://schemas.openxmlformats.org/officeDocument/2006/relationships/hyperlink" Id="rId96" Target="https://doi.org/10.3758/BF03192726" TargetMode="External" /><Relationship Type="http://schemas.openxmlformats.org/officeDocument/2006/relationships/hyperlink" Id="rId94" Target="https://doi.org/10.3758/BF03193013" TargetMode="External" /><Relationship Type="http://schemas.openxmlformats.org/officeDocument/2006/relationships/hyperlink" Id="rId126" Target="https://doi.org/10.3758/BF03195597" TargetMode="External" /><Relationship Type="http://schemas.openxmlformats.org/officeDocument/2006/relationships/hyperlink" Id="rId142" Target="https://doi.org/10.3758/BRM.40.1.183" TargetMode="External" /><Relationship Type="http://schemas.openxmlformats.org/officeDocument/2006/relationships/hyperlink" Id="rId73" Target="https://doi.org/10.3758/BRM.40.4.1030" TargetMode="External" /><Relationship Type="http://schemas.openxmlformats.org/officeDocument/2006/relationships/hyperlink" Id="rId116" Target="https://doi.org/10.3758/PBR.15.1.161" TargetMode="External" /><Relationship Type="http://schemas.openxmlformats.org/officeDocument/2006/relationships/hyperlink" Id="rId103" Target="https://doi.org/10.3758/s13421-013-0365-y" TargetMode="External" /><Relationship Type="http://schemas.openxmlformats.org/officeDocument/2006/relationships/hyperlink" Id="rId88" Target="https://doi.org/10.3758/s13428-010-0028-x" TargetMode="External" /><Relationship Type="http://schemas.openxmlformats.org/officeDocument/2006/relationships/hyperlink" Id="rId101" Target="https://doi.org/10.3758/s13428-012-0263-4" TargetMode="External" /><Relationship Type="http://schemas.openxmlformats.org/officeDocument/2006/relationships/hyperlink" Id="rId57" Target="https://doi.org/10.3758/s13428-012-0284-z" TargetMode="External" /><Relationship Type="http://schemas.openxmlformats.org/officeDocument/2006/relationships/hyperlink" Id="rId92" Target="https://doi.org/10.3758/s13428-013-0323-4" TargetMode="External" /><Relationship Type="http://schemas.openxmlformats.org/officeDocument/2006/relationships/hyperlink" Id="rId55" Target="https://doi.org/10.3758/s13428-013-0403-5" TargetMode="External" /><Relationship Type="http://schemas.openxmlformats.org/officeDocument/2006/relationships/hyperlink" Id="rId71" Target="https://doi.org/10.3758/s13428-013-0420-4" TargetMode="External" /><Relationship Type="http://schemas.openxmlformats.org/officeDocument/2006/relationships/hyperlink" Id="rId144" Target="https://doi.org/10.3758/s13428-016-0777-2" TargetMode="External" /><Relationship Type="http://schemas.openxmlformats.org/officeDocument/2006/relationships/hyperlink" Id="rId59" Target="https://doi.org/10.3758/s13428-019-01243-z" TargetMode="External" /><Relationship Type="http://schemas.openxmlformats.org/officeDocument/2006/relationships/hyperlink" Id="rId47" Target="https://github.com/crsh/papaja" TargetMode="External" /><Relationship Type="http://schemas.openxmlformats.org/officeDocument/2006/relationships/hyperlink" Id="rId23" Target="https://github.com/doomlab/FLT-Primer" TargetMode="External" /><Relationship Type="http://schemas.openxmlformats.org/officeDocument/2006/relationships/hyperlink" Id="rId27" Target="https://osf.io/cjyzw/"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146" Target="https://cloud.r-project.org/web/packages/dplyr/index.html" TargetMode="External" /><Relationship Type="http://schemas.openxmlformats.org/officeDocument/2006/relationships/hyperlink" Id="rId112" Target="https://cran.r-project.org/web/packages/hunspell/" TargetMode="External" /><Relationship Type="http://schemas.openxmlformats.org/officeDocument/2006/relationships/hyperlink" Id="rId98" Target="https://cran.r-project.org/web/packages/koRpus/index.html" TargetMode="External" /><Relationship Type="http://schemas.openxmlformats.org/officeDocument/2006/relationships/hyperlink" Id="rId138" Target="https://cran.r-project.org/web/packages/packrat/index.html" TargetMode="External" /><Relationship Type="http://schemas.openxmlformats.org/officeDocument/2006/relationships/hyperlink" Id="rId51" Target="https://cran.r-project.org/web/packages/stopwords/index.html" TargetMode="External" /><Relationship Type="http://schemas.openxmlformats.org/officeDocument/2006/relationships/hyperlink" Id="rId81" Target="https://cran.r-project.org/web/packages/stringi/index.html" TargetMode="External" /><Relationship Type="http://schemas.openxmlformats.org/officeDocument/2006/relationships/hyperlink" Id="rId69" Target="https://cran.r-project.org/web/packages/tidytext/index.html" TargetMode="External" /><Relationship Type="http://schemas.openxmlformats.org/officeDocument/2006/relationships/hyperlink" Id="rId133" Target="https://doi.org/10.1.1.28.1139" TargetMode="External" /><Relationship Type="http://schemas.openxmlformats.org/officeDocument/2006/relationships/hyperlink" Id="rId107" Target="https://doi.org/10.1007/s00426-014-0615-z" TargetMode="External" /><Relationship Type="http://schemas.openxmlformats.org/officeDocument/2006/relationships/hyperlink" Id="rId61" Target="https://doi.org/10.1016/0010-0277(88)90017-0" TargetMode="External" /><Relationship Type="http://schemas.openxmlformats.org/officeDocument/2006/relationships/hyperlink" Id="rId124" Target="https://doi.org/10.1016/0010-0285(75)90024-9" TargetMode="External" /><Relationship Type="http://schemas.openxmlformats.org/officeDocument/2006/relationships/hyperlink" Id="rId63" Target="https://doi.org/10.1016/J.BANDL.2015.05.007" TargetMode="External" /><Relationship Type="http://schemas.openxmlformats.org/officeDocument/2006/relationships/hyperlink" Id="rId105" Target="https://doi.org/10.1016/J.BIOPSYCHO.2018.04.004" TargetMode="External" /><Relationship Type="http://schemas.openxmlformats.org/officeDocument/2006/relationships/hyperlink" Id="rId65" Target="https://doi.org/10.1016/S0022-5371(69)80069-1" TargetMode="External" /><Relationship Type="http://schemas.openxmlformats.org/officeDocument/2006/relationships/hyperlink" Id="rId150" Target="https://doi.org/10.1016/j.actpsy.2009.02.002" TargetMode="External" /><Relationship Type="http://schemas.openxmlformats.org/officeDocument/2006/relationships/hyperlink" Id="rId75" Target="https://doi.org/10.1016/j.bandc.2009.04.007" TargetMode="External" /><Relationship Type="http://schemas.openxmlformats.org/officeDocument/2006/relationships/hyperlink" Id="rId140" Target="https://doi.org/10.1016/j.cogpsych.2003.09.001" TargetMode="External" /><Relationship Type="http://schemas.openxmlformats.org/officeDocument/2006/relationships/hyperlink" Id="rId77" Target="https://doi.org/10.1016/j.cortex.2013.05.010" TargetMode="External" /><Relationship Type="http://schemas.openxmlformats.org/officeDocument/2006/relationships/hyperlink" Id="rId154" Target="https://doi.org/10.1016/j.neuropsychologia.2005.04.008" TargetMode="External" /><Relationship Type="http://schemas.openxmlformats.org/officeDocument/2006/relationships/hyperlink" Id="rId122" Target="https://doi.org/10.1037/0033-295X.111.1.205" TargetMode="External" /><Relationship Type="http://schemas.openxmlformats.org/officeDocument/2006/relationships/hyperlink" Id="rId79" Target="https://doi.org/10.1037/0096-3445.120.4.339" TargetMode="External" /><Relationship Type="http://schemas.openxmlformats.org/officeDocument/2006/relationships/hyperlink" Id="rId67" Target="https://doi.org/10.1037/0096-3445.132.2.163" TargetMode="External" /><Relationship Type="http://schemas.openxmlformats.org/officeDocument/2006/relationships/hyperlink" Id="rId135" Target="https://doi.org/10.1037/h0036351" TargetMode="External" /><Relationship Type="http://schemas.openxmlformats.org/officeDocument/2006/relationships/hyperlink" Id="rId83" Target="https://doi.org/10.1080/02643290125857" TargetMode="External" /><Relationship Type="http://schemas.openxmlformats.org/officeDocument/2006/relationships/hyperlink" Id="rId118" Target="https://doi.org/10.1080/02643290244000112" TargetMode="External" /><Relationship Type="http://schemas.openxmlformats.org/officeDocument/2006/relationships/hyperlink" Id="rId152" Target="https://doi.org/10.1080/02643290542000067" TargetMode="External" /><Relationship Type="http://schemas.openxmlformats.org/officeDocument/2006/relationships/hyperlink" Id="rId49" Target="https://doi.org/10.1111/j.1551-6709.2009.01068.x" TargetMode="External" /><Relationship Type="http://schemas.openxmlformats.org/officeDocument/2006/relationships/hyperlink" Id="rId114" Target="https://doi.org/10.1126/science.1213847" TargetMode="External" /><Relationship Type="http://schemas.openxmlformats.org/officeDocument/2006/relationships/hyperlink" Id="rId110" Target="https://doi.org/10.1126/science.aab2374" TargetMode="External" /><Relationship Type="http://schemas.openxmlformats.org/officeDocument/2006/relationships/hyperlink" Id="rId131" Target="https://doi.org/10.1162/089892904322926773" TargetMode="External" /><Relationship Type="http://schemas.openxmlformats.org/officeDocument/2006/relationships/hyperlink" Id="rId148" Target="https://doi.org/10.1207/s15516709cog0000_33" TargetMode="External" /><Relationship Type="http://schemas.openxmlformats.org/officeDocument/2006/relationships/hyperlink" Id="rId129" Target="https://doi.org/10.1515/langcog.2011.004" TargetMode="External" /><Relationship Type="http://schemas.openxmlformats.org/officeDocument/2006/relationships/hyperlink" Id="rId53" Target="https://doi.org/10.1613/jair.4135" TargetMode="External" /><Relationship Type="http://schemas.openxmlformats.org/officeDocument/2006/relationships/hyperlink" Id="rId90" Target="https://doi.org/10.17791/jcs.2015.16.4.401" TargetMode="External" /><Relationship Type="http://schemas.openxmlformats.org/officeDocument/2006/relationships/hyperlink" Id="rId120" Target="https://doi.org/10.3389/fnhum.2012.00315" TargetMode="External" /><Relationship Type="http://schemas.openxmlformats.org/officeDocument/2006/relationships/hyperlink" Id="rId96" Target="https://doi.org/10.3758/BF03192726" TargetMode="External" /><Relationship Type="http://schemas.openxmlformats.org/officeDocument/2006/relationships/hyperlink" Id="rId94" Target="https://doi.org/10.3758/BF03193013" TargetMode="External" /><Relationship Type="http://schemas.openxmlformats.org/officeDocument/2006/relationships/hyperlink" Id="rId126" Target="https://doi.org/10.3758/BF03195597" TargetMode="External" /><Relationship Type="http://schemas.openxmlformats.org/officeDocument/2006/relationships/hyperlink" Id="rId142" Target="https://doi.org/10.3758/BRM.40.1.183" TargetMode="External" /><Relationship Type="http://schemas.openxmlformats.org/officeDocument/2006/relationships/hyperlink" Id="rId73" Target="https://doi.org/10.3758/BRM.40.4.1030" TargetMode="External" /><Relationship Type="http://schemas.openxmlformats.org/officeDocument/2006/relationships/hyperlink" Id="rId116" Target="https://doi.org/10.3758/PBR.15.1.161" TargetMode="External" /><Relationship Type="http://schemas.openxmlformats.org/officeDocument/2006/relationships/hyperlink" Id="rId103" Target="https://doi.org/10.3758/s13421-013-0365-y" TargetMode="External" /><Relationship Type="http://schemas.openxmlformats.org/officeDocument/2006/relationships/hyperlink" Id="rId88" Target="https://doi.org/10.3758/s13428-010-0028-x" TargetMode="External" /><Relationship Type="http://schemas.openxmlformats.org/officeDocument/2006/relationships/hyperlink" Id="rId101" Target="https://doi.org/10.3758/s13428-012-0263-4" TargetMode="External" /><Relationship Type="http://schemas.openxmlformats.org/officeDocument/2006/relationships/hyperlink" Id="rId57" Target="https://doi.org/10.3758/s13428-012-0284-z" TargetMode="External" /><Relationship Type="http://schemas.openxmlformats.org/officeDocument/2006/relationships/hyperlink" Id="rId92" Target="https://doi.org/10.3758/s13428-013-0323-4" TargetMode="External" /><Relationship Type="http://schemas.openxmlformats.org/officeDocument/2006/relationships/hyperlink" Id="rId55" Target="https://doi.org/10.3758/s13428-013-0403-5" TargetMode="External" /><Relationship Type="http://schemas.openxmlformats.org/officeDocument/2006/relationships/hyperlink" Id="rId71" Target="https://doi.org/10.3758/s13428-013-0420-4" TargetMode="External" /><Relationship Type="http://schemas.openxmlformats.org/officeDocument/2006/relationships/hyperlink" Id="rId144" Target="https://doi.org/10.3758/s13428-016-0777-2" TargetMode="External" /><Relationship Type="http://schemas.openxmlformats.org/officeDocument/2006/relationships/hyperlink" Id="rId59" Target="https://doi.org/10.3758/s13428-019-01243-z" TargetMode="External" /><Relationship Type="http://schemas.openxmlformats.org/officeDocument/2006/relationships/hyperlink" Id="rId47" Target="https://github.com/crsh/papaja" TargetMode="External" /><Relationship Type="http://schemas.openxmlformats.org/officeDocument/2006/relationships/hyperlink" Id="rId23" Target="https://github.com/doomlab/FLT-Primer" TargetMode="External" /><Relationship Type="http://schemas.openxmlformats.org/officeDocument/2006/relationships/hyperlink" Id="rId27" Target="https://osf.io/cjyzw/"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2019-07-19T12:10:28Z</dcterms:created>
  <dcterms:modified xsi:type="dcterms:W3CDTF">2019-07-19T12:10:28Z</dcterms:modified>
</cp:coreProperties>
</file>