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35D2B" w14:textId="77777777" w:rsidR="00683E57" w:rsidRDefault="00F17784" w:rsidP="00CD7CC1">
      <w:pPr>
        <w:pStyle w:val="Title"/>
        <w:spacing w:after="0"/>
      </w:pPr>
      <w:r>
        <w:t>Have psychologists increased reporting of outliers in response to the reproducibility crisis?</w:t>
      </w:r>
    </w:p>
    <w:p w14:paraId="797A00FA" w14:textId="77777777" w:rsidR="00683E57" w:rsidRDefault="00F17784" w:rsidP="00CD7CC1">
      <w:pPr>
        <w:pStyle w:val="Author"/>
        <w:spacing w:after="0"/>
      </w:pPr>
      <w:r>
        <w:t>K. D. Valentine</w:t>
      </w:r>
      <w:r>
        <w:rPr>
          <w:vertAlign w:val="superscript"/>
        </w:rPr>
        <w:t>1,2</w:t>
      </w:r>
      <w:r>
        <w:t>, Erin M. Buchanan</w:t>
      </w:r>
      <w:r>
        <w:rPr>
          <w:vertAlign w:val="superscript"/>
        </w:rPr>
        <w:t>3</w:t>
      </w:r>
      <w:r>
        <w:t>, Arielle Cunningham</w:t>
      </w:r>
      <w:r>
        <w:rPr>
          <w:vertAlign w:val="superscript"/>
        </w:rPr>
        <w:t>4</w:t>
      </w:r>
      <w:r>
        <w:t>, Tabetha Hopke</w:t>
      </w:r>
      <w:r>
        <w:rPr>
          <w:vertAlign w:val="superscript"/>
        </w:rPr>
        <w:t>4</w:t>
      </w:r>
      <w:r>
        <w:t>, Addie Wikowsky</w:t>
      </w:r>
      <w:r>
        <w:rPr>
          <w:vertAlign w:val="superscript"/>
        </w:rPr>
        <w:t>4</w:t>
      </w:r>
      <w:r>
        <w:t>, &amp; Haley Wilson</w:t>
      </w:r>
      <w:r>
        <w:rPr>
          <w:vertAlign w:val="superscript"/>
        </w:rPr>
        <w:t>4</w:t>
      </w:r>
    </w:p>
    <w:p w14:paraId="5884662A" w14:textId="77777777" w:rsidR="00683E57" w:rsidRDefault="00F17784" w:rsidP="00CD7CC1">
      <w:pPr>
        <w:pStyle w:val="Author"/>
        <w:spacing w:after="0"/>
      </w:pPr>
      <w:r>
        <w:rPr>
          <w:vertAlign w:val="superscript"/>
        </w:rPr>
        <w:t>1</w:t>
      </w:r>
      <w:r>
        <w:t xml:space="preserve"> </w:t>
      </w:r>
      <w:r>
        <w:t>Massachusetts General Hospital</w:t>
      </w:r>
    </w:p>
    <w:p w14:paraId="6A503019" w14:textId="77777777" w:rsidR="00683E57" w:rsidRDefault="00F17784" w:rsidP="00CD7CC1">
      <w:pPr>
        <w:pStyle w:val="Author"/>
        <w:spacing w:after="0"/>
      </w:pPr>
      <w:r>
        <w:rPr>
          <w:vertAlign w:val="superscript"/>
        </w:rPr>
        <w:t>2</w:t>
      </w:r>
      <w:r>
        <w:t xml:space="preserve"> Harvard Medical School</w:t>
      </w:r>
    </w:p>
    <w:p w14:paraId="21521CEE" w14:textId="77777777" w:rsidR="00683E57" w:rsidRDefault="00F17784" w:rsidP="00CD7CC1">
      <w:pPr>
        <w:pStyle w:val="Author"/>
        <w:spacing w:after="0"/>
      </w:pPr>
      <w:r>
        <w:rPr>
          <w:vertAlign w:val="superscript"/>
        </w:rPr>
        <w:t>3</w:t>
      </w:r>
      <w:r>
        <w:t xml:space="preserve"> Harrisburg University of Science and Technology</w:t>
      </w:r>
    </w:p>
    <w:p w14:paraId="662C94E0" w14:textId="77777777" w:rsidR="00683E57" w:rsidRDefault="00F17784" w:rsidP="00CD7CC1">
      <w:pPr>
        <w:pStyle w:val="Author"/>
        <w:spacing w:after="0"/>
      </w:pPr>
      <w:r>
        <w:rPr>
          <w:vertAlign w:val="superscript"/>
        </w:rPr>
        <w:t>4</w:t>
      </w:r>
      <w:r>
        <w:t xml:space="preserve"> Missouri State University</w:t>
      </w:r>
    </w:p>
    <w:p w14:paraId="57583AFA" w14:textId="77777777" w:rsidR="00683E57" w:rsidRDefault="00F17784" w:rsidP="00CD7CC1">
      <w:pPr>
        <w:pStyle w:val="Compact"/>
        <w:spacing w:after="0" w:line="480" w:lineRule="auto"/>
      </w:pPr>
      <w:r>
        <w:t>                                                                                                                          </w:t>
      </w:r>
      <w:r>
        <w:t>                          </w:t>
      </w:r>
    </w:p>
    <w:p w14:paraId="6EDB6E58" w14:textId="77777777" w:rsidR="00683E57" w:rsidRDefault="00F17784" w:rsidP="00CD7CC1">
      <w:pPr>
        <w:pStyle w:val="BodyText"/>
        <w:spacing w:after="0"/>
      </w:pPr>
      <w:r>
        <w:t> </w:t>
      </w:r>
    </w:p>
    <w:p w14:paraId="73252AE4" w14:textId="77777777" w:rsidR="00683E57" w:rsidRDefault="00F17784" w:rsidP="00CD7CC1">
      <w:pPr>
        <w:pStyle w:val="BodyText"/>
        <w:spacing w:after="0"/>
      </w:pPr>
      <w:r>
        <w:t> </w:t>
      </w:r>
    </w:p>
    <w:p w14:paraId="73EB4FA8" w14:textId="77777777" w:rsidR="00683E57" w:rsidRDefault="00F17784" w:rsidP="00CD7CC1">
      <w:pPr>
        <w:pStyle w:val="BodyText"/>
        <w:spacing w:after="0"/>
      </w:pPr>
      <w:r>
        <w:t> </w:t>
      </w:r>
    </w:p>
    <w:p w14:paraId="255BD05A" w14:textId="77777777" w:rsidR="00683E57" w:rsidRDefault="00F17784" w:rsidP="00CD7CC1">
      <w:pPr>
        <w:pStyle w:val="BodyText"/>
        <w:spacing w:after="0"/>
      </w:pPr>
      <w:r>
        <w:t> </w:t>
      </w:r>
    </w:p>
    <w:p w14:paraId="4E54CAF6" w14:textId="77777777" w:rsidR="00683E57" w:rsidRDefault="00F17784" w:rsidP="00CD7CC1">
      <w:pPr>
        <w:pStyle w:val="BodyText"/>
        <w:spacing w:after="0"/>
      </w:pPr>
      <w:r>
        <w:t> </w:t>
      </w:r>
    </w:p>
    <w:p w14:paraId="25FB1709" w14:textId="77777777" w:rsidR="00683E57" w:rsidRDefault="00F17784" w:rsidP="00CD7CC1">
      <w:pPr>
        <w:pStyle w:val="BodyText"/>
        <w:spacing w:after="0"/>
      </w:pPr>
      <w:r>
        <w:t> </w:t>
      </w:r>
    </w:p>
    <w:p w14:paraId="3EC07FE3" w14:textId="77777777" w:rsidR="00CD7CC1" w:rsidRDefault="00CD7CC1">
      <w:pPr>
        <w:spacing w:before="0" w:after="200" w:line="240" w:lineRule="auto"/>
        <w:rPr>
          <w:rFonts w:eastAsiaTheme="majorEastAsia" w:cstheme="majorBidi"/>
          <w:bCs/>
          <w:szCs w:val="36"/>
        </w:rPr>
      </w:pPr>
      <w:r>
        <w:br w:type="page"/>
      </w:r>
    </w:p>
    <w:p w14:paraId="2CAF7BAD" w14:textId="526318F0" w:rsidR="00683E57" w:rsidRDefault="00F17784" w:rsidP="00CD7CC1">
      <w:pPr>
        <w:pStyle w:val="Author"/>
        <w:spacing w:after="0"/>
      </w:pPr>
      <w:proofErr w:type="gramStart"/>
      <w:r>
        <w:lastRenderedPageBreak/>
        <w:t>Author</w:t>
      </w:r>
      <w:proofErr w:type="gramEnd"/>
      <w:r>
        <w:t xml:space="preserve"> note</w:t>
      </w:r>
    </w:p>
    <w:p w14:paraId="632879A8" w14:textId="77777777" w:rsidR="00683E57" w:rsidRDefault="00F17784" w:rsidP="00CD7CC1">
      <w:pPr>
        <w:pStyle w:val="BodyText"/>
        <w:spacing w:after="0"/>
        <w:ind w:firstLine="0"/>
      </w:pPr>
      <w:r>
        <w:t xml:space="preserve">K. D. Valentine is a Postdoctoral Research Fellow at the Health Decision Sciences Center at Massachusetts General Hospital. Erin M. Buchanan is an Professor of Cognitive Analytics at Harrisburg University </w:t>
      </w:r>
      <w:r>
        <w:t>of Science and Technology. Arielle Cunningham, Tabetha Hopke, Addie Wikowsky, and Haley Wilson were master’s candidates at Missouri State University during the creation of this paper.</w:t>
      </w:r>
    </w:p>
    <w:p w14:paraId="22D00BC2" w14:textId="11D4D7B6" w:rsidR="00683E57" w:rsidRDefault="00F17784" w:rsidP="00CD7CC1">
      <w:pPr>
        <w:pStyle w:val="BodyText"/>
        <w:spacing w:after="0"/>
        <w:ind w:firstLine="0"/>
      </w:pPr>
      <w:r>
        <w:t>Correspondence concerning this article should be addressed to K. D. Vale</w:t>
      </w:r>
      <w:r>
        <w:t xml:space="preserve">ntine, 100 Cambridge St., Boston, MA 02114. E-mail: </w:t>
      </w:r>
      <w:hyperlink r:id="rId7">
        <w:r>
          <w:rPr>
            <w:rStyle w:val="Hyperlink"/>
          </w:rPr>
          <w:t>kvalentine2@mgh.harvard.edu</w:t>
        </w:r>
      </w:hyperlink>
    </w:p>
    <w:p w14:paraId="225FD045" w14:textId="77777777" w:rsidR="00683E57" w:rsidRDefault="00F17784" w:rsidP="00CD7CC1">
      <w:pPr>
        <w:pStyle w:val="h1-pagebreak"/>
      </w:pPr>
      <w:r>
        <w:lastRenderedPageBreak/>
        <w:t>Abstract</w:t>
      </w:r>
    </w:p>
    <w:p w14:paraId="50C5A2C9" w14:textId="77777777" w:rsidR="00683E57" w:rsidRDefault="00F17784" w:rsidP="00CD7CC1">
      <w:pPr>
        <w:pStyle w:val="BodyText"/>
        <w:spacing w:after="0"/>
        <w:ind w:firstLine="0"/>
      </w:pPr>
      <w:r>
        <w:t>Psychology is currently experiencing a “renaissance” where the replication and reproducibility of published repor</w:t>
      </w:r>
      <w:r>
        <w:t>ts are at the forefront of conversations in the field. While researchers have worked to discuss possible problems and solutions, work has yet to uncover how this new culture may have altered reporting practices in the social sciences. As outliers and other</w:t>
      </w:r>
      <w:r>
        <w:t xml:space="preserve"> errant data points can bias both descriptive and inferential statistics, the search for these data points is essential to any analysis using these parameters. We quantified the rates of reporting of outliers and other data within psychology at two time po</w:t>
      </w:r>
      <w:r>
        <w:t>ints: 2012 when the replication crisis was born, and 2017, after the publication of reports concerning replication, questionable research practices, and transparency. A total of 2235 experiments were identified and analyzed, finding an increase in reportin</w:t>
      </w:r>
      <w:r>
        <w:t>g from only 15.7% of experiments in 2012 to 25.0% in 2017. We investigated differences across years given the psychological field or statistical analysis that experiment employed. Further, we inspected whether data exclusions mentioned were whole participa</w:t>
      </w:r>
      <w:r>
        <w:t>nt observations or data points, and what reasons authors gave for stating the observation was deviant. We conclude that while report rates are improving overall, there is still room for improvement in the reporting practices of psychological scientists whi</w:t>
      </w:r>
      <w:r>
        <w:t>ch can only aid in strengthening our science.</w:t>
      </w:r>
    </w:p>
    <w:p w14:paraId="4902C9F1" w14:textId="77777777" w:rsidR="00683E57" w:rsidRDefault="00F17784" w:rsidP="00CD7CC1">
      <w:pPr>
        <w:pStyle w:val="BodyText"/>
        <w:spacing w:after="0"/>
        <w:ind w:firstLine="0"/>
      </w:pPr>
      <w:r>
        <w:rPr>
          <w:i/>
        </w:rPr>
        <w:t>Keywords:</w:t>
      </w:r>
      <w:r>
        <w:t xml:space="preserve"> outlier, influential observation, replication, methods, reporting, meta science, psychology</w:t>
      </w:r>
    </w:p>
    <w:p w14:paraId="0B0A02FD" w14:textId="77777777" w:rsidR="00683E57" w:rsidRDefault="00F17784" w:rsidP="00CD7CC1">
      <w:pPr>
        <w:pStyle w:val="h1-pagebreak"/>
      </w:pPr>
      <w:r>
        <w:lastRenderedPageBreak/>
        <w:t>Have psychologists increased reporting of outliers in response to the reproducibility crisis?</w:t>
      </w:r>
    </w:p>
    <w:p w14:paraId="1A214E9F" w14:textId="77777777" w:rsidR="00683E57" w:rsidRDefault="00F17784" w:rsidP="00CD7CC1">
      <w:pPr>
        <w:pStyle w:val="BodyText"/>
        <w:spacing w:after="0"/>
      </w:pPr>
      <w:r>
        <w:t xml:space="preserve">Psychology is </w:t>
      </w:r>
      <w:r>
        <w:t>undergoing a “renaissance” in which focus has shifted to the replication and reproducibility of current published reports (Etz &amp; Vandekerckhove, 2016; Lindsay, 2015; Nelson, Simmons, &amp; Simonsohn, 2018; Open Science Collaboration, 2015; Van Elk et al., 2015</w:t>
      </w:r>
      <w:r>
        <w:t xml:space="preserve">). A main concern has been the difficulty in replicating phenomena, often attributed to publication bias (Ferguson &amp; Brannick, 2012), the use and misuse of </w:t>
      </w:r>
      <w:r>
        <w:rPr>
          <w:i/>
        </w:rPr>
        <w:t>p</w:t>
      </w:r>
      <w:r>
        <w:t xml:space="preserve">-values (Gigerenzer, 2004; Ioannidis, 2005), and researcher degrees of freedom (Simmons, Nelson, &amp; </w:t>
      </w:r>
      <w:r>
        <w:t>Simonsohn, 2011). In particular, this analysis focused on one facet of questionable research practices (QRPs) that affect potential replication; the selective removal or inclusion of data points.</w:t>
      </w:r>
    </w:p>
    <w:p w14:paraId="0AD1F1C5" w14:textId="77777777" w:rsidR="00683E57" w:rsidRDefault="00F17784" w:rsidP="00CD7CC1">
      <w:pPr>
        <w:pStyle w:val="BodyText"/>
        <w:spacing w:after="0"/>
      </w:pPr>
      <w:r>
        <w:t>As outlined by Nelson et al. (2018), the social sciences tur</w:t>
      </w:r>
      <w:r>
        <w:t>ned inward to examine their practices due to the publication of unbelievable data (Wagenmakers, Wetzels, Borsboom, &amp; Maas, 2011), academic fraud (Simonsohn, 2013), failures to replicate important findings (Doyen, Klein, Pichon, &amp; Cleeremans, 2012), and the</w:t>
      </w:r>
      <w:r>
        <w:t xml:space="preserve"> beginning of the Open Science Framework (Nosek, 2015). These combined forces led to the current focus on QRPs and </w:t>
      </w:r>
      <w:r>
        <w:rPr>
          <w:i/>
        </w:rPr>
        <w:t>p</w:t>
      </w:r>
      <w:r>
        <w:t>-hacking and the investigation into potential solutions to these problems. Recommendations included integrating effect sizes into results (C</w:t>
      </w:r>
      <w:r>
        <w:t>umming, 2008; Lakens, 2013), encouraging researchers to be transparent about their research practices, including not only the design and execution of their experiments, but especially the data preparation and resulting analyses (Simmons et al., 2011), atte</w:t>
      </w:r>
      <w:r>
        <w:t xml:space="preserve">mpting and interpreting well thought out replication studies (Asendorpf et al., 2013; Maxwell, Lau, &amp; Howard, 2015), altering the way we think about </w:t>
      </w:r>
      <w:r>
        <w:rPr>
          <w:i/>
        </w:rPr>
        <w:t>p</w:t>
      </w:r>
      <w:r>
        <w:t>-values (Benjamin et al., 2018; Lakens et al., 2018; Valentine, Buchanan, Scofield, &amp; Beauchamp, 2019), an</w:t>
      </w:r>
      <w:r>
        <w:t xml:space="preserve">d restructuring incentives (Nosek, Spies, &amp; Motyl, 2012). Additionally, Klein et al. (2014) developed the Many Labs project to aid in data collection for increased power, while the Open Science Collaboration </w:t>
      </w:r>
      <w:r>
        <w:lastRenderedPageBreak/>
        <w:t xml:space="preserve">(2015) utilized a many labs approach to publish </w:t>
      </w:r>
      <w:r>
        <w:t>combined findings to speak to the replication of phenomena in psychology.</w:t>
      </w:r>
    </w:p>
    <w:p w14:paraId="3334DB66" w14:textId="77777777" w:rsidR="00683E57" w:rsidRDefault="00F17784" w:rsidP="00CD7CC1">
      <w:pPr>
        <w:pStyle w:val="BodyText"/>
        <w:spacing w:after="0"/>
      </w:pPr>
      <w:r>
        <w:t>While we have seen vast discussion of the problems and proposed solutions, research has yet to determine how this new culture may have impacted reporting practices of researchers. He</w:t>
      </w:r>
      <w:r>
        <w:t>rein, we aim specifically to quantify the rates of reporting of outliers within psychology at two time points: 2012, when the replication crisis was outlined (Pashler &amp; Wagenmakers, 2012), and 2017, after the publication of reports concerning QRPs, replica</w:t>
      </w:r>
      <w:r>
        <w:t>tion, and transparency (Miguel et al., 2014). Because of the slow editorial, revision, and publication process, publications with the year 2012 were likely completed in 2011 or earlier, thus, a good starting time point for gathering data at or around the s</w:t>
      </w:r>
      <w:r>
        <w:t>tart of the “crisis”.</w:t>
      </w:r>
    </w:p>
    <w:p w14:paraId="0DD1A0D0" w14:textId="428BC355" w:rsidR="00683E57" w:rsidRDefault="00F17784" w:rsidP="00CD7CC1">
      <w:pPr>
        <w:pStyle w:val="Heading2"/>
      </w:pPr>
      <w:bookmarkStart w:id="0" w:name="outliers"/>
      <w:r>
        <w:t>Outliers</w:t>
      </w:r>
      <w:bookmarkEnd w:id="0"/>
    </w:p>
    <w:p w14:paraId="3E130D5A" w14:textId="77777777" w:rsidR="00683E57" w:rsidRDefault="00F17784" w:rsidP="00CD7CC1">
      <w:pPr>
        <w:pStyle w:val="FirstParagraph"/>
        <w:spacing w:after="0"/>
      </w:pPr>
      <w:r>
        <w:t>Bernoulli, a prominent mathematician in the 1700s who is notable for his work in statistics and economics, first mentioned outliers in 1777 starting the long history of examining for discrepant observations (Bernoulli &amp; A</w:t>
      </w:r>
      <w:r>
        <w:t xml:space="preserve">llen, 1961), which can bias both descriptive and inferential statistics (Cook &amp; Weisberg, 1980; Stevens, 1984; Yuan &amp; Bentler, 2001; Zimmerman, 1994). Therefore, the examination for these data points is essential to any analysis using these parameters, as </w:t>
      </w:r>
      <w:r>
        <w:t>outliers can impact study results. Outliers have been defined as influential observations or fringliers, but herein, we specifically use the definition of “an observation which being atypical and/or erroneous deviates decidedly from the general behavior of</w:t>
      </w:r>
      <w:r>
        <w:t xml:space="preserve"> experimental data with respect to the criteria which is to be analyzed on it” (Muñoz-Garcia, Moreno-Rebollo, &amp; Pascual-Acosta, 1990, pg. 217). This definition was used to capture a wide range of what one might consider “deviant”: participant errors in an </w:t>
      </w:r>
      <w:r>
        <w:t xml:space="preserve">experiment, unusable data, and data that may be found at the tail ends of a distribution. The removal of any data point for </w:t>
      </w:r>
      <w:r>
        <w:lastRenderedPageBreak/>
        <w:t>discrepant reasons should be transparently conveyed in a study, and therefore, we used a more broad definition to include these diff</w:t>
      </w:r>
      <w:r>
        <w:t>erent scenarios. Additionally, the definition of outliers can vary from researcher to researcher, and a wide range of graphical and statistical options are available for deviant data detection (Beckman &amp; Cook, 1983; Hodge &amp; Austin, 2004; Orr, Sackett, &amp; Du</w:t>
      </w:r>
      <w:r>
        <w:t>bois, 1991; Osborne &amp; Overbay, 2004). For example, Tabachnick and Fidell (2012) outline several of the most popular detection methods including visual data inspection, residual statistics, a set number of standard deviations, Mahalanobis distance, Leverage</w:t>
      </w:r>
      <w:r>
        <w:t>, and Cook’s distances. Participants who do not complete the study correctly and/or unusable data are often found with these types of detection techniques, and therefore, a broad definition of outliers is necessary to capture researcher behavior.</w:t>
      </w:r>
    </w:p>
    <w:p w14:paraId="7BF3FB9A" w14:textId="77777777" w:rsidR="00683E57" w:rsidRDefault="00F17784" w:rsidP="00CD7CC1">
      <w:pPr>
        <w:pStyle w:val="BodyText"/>
        <w:spacing w:after="0"/>
      </w:pPr>
      <w:r>
        <w:t>Researche</w:t>
      </w:r>
      <w:r>
        <w:t>rs have separated outliers into categories in many ways over the years (Beckman &amp; Cook, 1983; Hodge &amp; Austin, 2004; Muñoz-Garcia et al., 1990; Orr et al., 1991; Osborne &amp; Overbay, 2004). Some of the most pervasive categories include experimenter error (e.g</w:t>
      </w:r>
      <w:r>
        <w:t>., an error in the way the data was collected, coded, or prepared), participant behaviors (e.g., intentional or motivated misreporting), and natural variability (including legitimate data that are interesting because they do not fit the expected scheme). J</w:t>
      </w:r>
      <w:r>
        <w:t>ust as there are different categories of outliers, there are different ways to handle outliers. For instance, an outlier that is a legitimate data point that does not fit into the expected scheme should not necessarily be removed. However, an outlying data</w:t>
      </w:r>
      <w:r>
        <w:t xml:space="preserve"> point that arose due to a coding error should be corrected, not necessarily removed from an analysis.</w:t>
      </w:r>
    </w:p>
    <w:p w14:paraId="5A082ED7" w14:textId="77777777" w:rsidR="00683E57" w:rsidRDefault="00F17784" w:rsidP="00CD7CC1">
      <w:pPr>
        <w:pStyle w:val="BodyText"/>
        <w:spacing w:after="0"/>
      </w:pPr>
      <w:r>
        <w:t>Therefore, it is important to understand how outliers were detected, what type of outlier they may be, and a justification for how the outliers were hand</w:t>
      </w:r>
      <w:r>
        <w:t xml:space="preserve">led. Before the serious focus on QRPs, the information regarding outlier detection as part of data screening was often excluded </w:t>
      </w:r>
      <w:r>
        <w:lastRenderedPageBreak/>
        <w:t>from publication, particularly if a journal page limit requirement needed to be followed. Consider, for example, Orr et al. (199</w:t>
      </w:r>
      <w:r>
        <w:t>1), who inspected 100 Industrial/Organizational Psychology personnel studies and found no mention of outliers whatsoever.</w:t>
      </w:r>
    </w:p>
    <w:p w14:paraId="06F9DD87" w14:textId="77777777" w:rsidR="00683E57" w:rsidRDefault="00F17784" w:rsidP="00CD7CC1">
      <w:pPr>
        <w:pStyle w:val="BodyText"/>
        <w:spacing w:after="0"/>
      </w:pPr>
      <w:r>
        <w:t>However, while outliers may not be publicized, outlier detection and removal is likely part of a researcher’s data screening procedure</w:t>
      </w:r>
      <w:r>
        <w:t>. LeBel et al. (2013) found that 11% of psychology researchers stated that they had not reported excluding participants for being outliers in their papers. Fiedler and Schwarz (2016) suggested that more than a quarter of researchers decide whether to exclu</w:t>
      </w:r>
      <w:r>
        <w:t>de data only after looking at the impact of doing so. Marjan Bakker and Wicherts (2014) investigated the effects of outliers on published analyses, and while they did not find that they affected the surveyed results, they did report that these findings are</w:t>
      </w:r>
      <w:r>
        <w:t xml:space="preserve"> likely biased by the non-reporting of data screening procedures in some articles, as sample sizes and degrees of freedom often did not match. These studies indicate that a lack of transparency in data manipulation and reporting is problematic.</w:t>
      </w:r>
    </w:p>
    <w:p w14:paraId="3AB43B57" w14:textId="77777777" w:rsidR="00683E57" w:rsidRDefault="00F17784" w:rsidP="00CD7CC1">
      <w:pPr>
        <w:pStyle w:val="BodyText"/>
        <w:spacing w:after="0"/>
      </w:pPr>
      <w:r>
        <w:t>By keeping outliers in a dataset, analyses are more likely to have increased error variance (depending on sample size, Orr et al., 1991), biased estimates (Osborne &amp; Overbay, 2004), and either increased (Buchanan &amp; Scofield, 2018; Hilgard, 2019) or reduced</w:t>
      </w:r>
      <w:r>
        <w:t xml:space="preserve"> effect size and power (Orr et al., 1991; Osborne &amp; Overbay, 2004), which can alter the results of the analysis and lead to falsely supporting (Type I error), or denying a claim (Type II error). Conversely, removing outliers unjustly or when they represent</w:t>
      </w:r>
      <w:r>
        <w:t xml:space="preserve"> true responses in the variable can also lead to a decrease in variance and an increase in Type I errors (M. Bakker &amp; Wicherts, 2014). For example, Hilgard (2019) recently reported on the impact of the removal of outliers from a study on video game gun vio</w:t>
      </w:r>
      <w:r>
        <w:t xml:space="preserve">lence. In the published study, Chang and Bushman (2019) suggested that playing a game with gun violence lead to more gun-violent behaviors than playing a game with sword- or no violence. </w:t>
      </w:r>
      <w:r>
        <w:lastRenderedPageBreak/>
        <w:t xml:space="preserve">However, their results stem from the removal of two player dyads. As </w:t>
      </w:r>
      <w:r>
        <w:t>Hilgard demonstrated, inclusion of even one of these dyads would have made all of their “marginal” results “nonsignificant”, and their “significant” results “marginal”. Inconsistencies in the treatment and publication of outliers could also lead to failure</w:t>
      </w:r>
      <w:r>
        <w:t xml:space="preserve">s to replicate previous work, as it would be difficult to replicate analyses that have been </w:t>
      </w:r>
      <w:r>
        <w:rPr>
          <w:i/>
        </w:rPr>
        <w:t>p</w:t>
      </w:r>
      <w:r>
        <w:t xml:space="preserve">-hacked into “just-significant” results (Leggett, Thomas, Loetscher, &amp; Nicholls, 2013; Nelson et al., 2018). The influence of this practice can be wide spread, as </w:t>
      </w:r>
      <w:r>
        <w:t>non-reporting of data manipulation can negatively affect meta-analyses, effect sizes, and sample size estimates for study planning. On the other hand, outliers do not always need to be seen as nuisance, as they will often be informative to researchers beca</w:t>
      </w:r>
      <w:r>
        <w:t>use they can encourage the diagnosis, change, and evolution of a research model (Beckman &amp; Cook, 1983). Taken together, a lack of reporting of outlier practices can lead to furthering unwarranted avenues of research, ignoring important information, creatin</w:t>
      </w:r>
      <w:r>
        <w:t>g erroneous theories, and failure to replicate, all of which serve to weaken the sciences. Clarifying the presence or absence of outliers, how they were assessed, and how they were handled can improve our transparency and replicability, and ultimately help</w:t>
      </w:r>
      <w:r>
        <w:t xml:space="preserve"> to strengthen our science.</w:t>
      </w:r>
    </w:p>
    <w:p w14:paraId="2F555465" w14:textId="77777777" w:rsidR="00683E57" w:rsidRDefault="00F17784" w:rsidP="00CD7CC1">
      <w:pPr>
        <w:pStyle w:val="BodyText"/>
        <w:spacing w:after="0"/>
      </w:pPr>
      <w:r>
        <w:t>The current zeitgeist of increased transparency and reproducibility applies not only to the manner in which data is collected, but also the various ways the data is transformed, cleaned, pared down, and analyzed. Therefore, it c</w:t>
      </w:r>
      <w:r>
        <w:t>an be argued that it is just as important for a researcher to state how they identified outliers within their data, how the outliers were handled, and how this choice of handling impacted the estimates and conclusions of their analyses, as it is for them t</w:t>
      </w:r>
      <w:r>
        <w:t xml:space="preserve">o report their sample size. Given the timing of the renaissance, we expected to find a positive change in reporting rates for outliers in 2017, as compared to 2012. This report spans a wide range of psychological sub-domains; however, we also expected the </w:t>
      </w:r>
      <w:r>
        <w:t>impact of the Open Science Collaboration (2015) publication to affect social and cognitive psychology more than other fields.</w:t>
      </w:r>
    </w:p>
    <w:p w14:paraId="77936DB8" w14:textId="2A9926F5" w:rsidR="00683E57" w:rsidRDefault="00F17784" w:rsidP="00CD7CC1">
      <w:pPr>
        <w:pStyle w:val="Heading1"/>
      </w:pPr>
      <w:bookmarkStart w:id="1" w:name="method"/>
      <w:r>
        <w:lastRenderedPageBreak/>
        <w:t>Method</w:t>
      </w:r>
      <w:bookmarkEnd w:id="1"/>
    </w:p>
    <w:p w14:paraId="6DE53389" w14:textId="1FB8942E" w:rsidR="00683E57" w:rsidRDefault="00F17784" w:rsidP="00CD7CC1">
      <w:pPr>
        <w:pStyle w:val="Heading2"/>
      </w:pPr>
      <w:bookmarkStart w:id="2" w:name="fields"/>
      <w:r>
        <w:t>Fields</w:t>
      </w:r>
      <w:bookmarkEnd w:id="2"/>
    </w:p>
    <w:p w14:paraId="0CF70D2D" w14:textId="77777777" w:rsidR="00683E57" w:rsidRDefault="00F17784" w:rsidP="00CD7CC1">
      <w:pPr>
        <w:pStyle w:val="FirstParagraph"/>
        <w:spacing w:after="0"/>
      </w:pPr>
      <w:r>
        <w:t>A list of psychological sub-domains was created to begin the search for appropriate journals to include. The a</w:t>
      </w:r>
      <w:r>
        <w:t>uthors brainstormed the list of topics (shown in Table 1) by first listing major research areas in psychology (i.e., cognitive, clinical, social, etc.). Second, a list of common courses offered at large universities was consulted to add to the list of fiel</w:t>
      </w:r>
      <w:r>
        <w:t>ds. Last, the American Psychological Association’s list of divisions was examined for any potential missed fields. The topic list was created to capture large fields of psychology with small overlap (i.e., cognition and neuropsychology) while avoiding spec</w:t>
      </w:r>
      <w:r>
        <w:t>ific sub-fields of topics (i.e., cognition overall versus perception and memory only journals). Sixteen fields were initially identified; however, only thirteen were included in final analysis due to limitations noted below.</w:t>
      </w:r>
    </w:p>
    <w:p w14:paraId="7CC13B4E" w14:textId="1AC0D8F8" w:rsidR="00683E57" w:rsidRDefault="00F17784" w:rsidP="00CD7CC1">
      <w:pPr>
        <w:pStyle w:val="Heading2"/>
      </w:pPr>
      <w:bookmarkStart w:id="3" w:name="journals"/>
      <w:r>
        <w:t>Journals</w:t>
      </w:r>
      <w:bookmarkEnd w:id="3"/>
    </w:p>
    <w:p w14:paraId="1C0D15E0" w14:textId="77777777" w:rsidR="00683E57" w:rsidRDefault="00F17784" w:rsidP="00CD7CC1">
      <w:pPr>
        <w:pStyle w:val="FirstParagraph"/>
        <w:spacing w:after="0"/>
      </w:pPr>
      <w:r>
        <w:t>Once these fields were agreed upon, researchers used various search sources (Google, EBSCO host databases) to find journals that were dedicated to each broad topic. Journals were included if they appeared to publish a wide range of articles within the sele</w:t>
      </w:r>
      <w:r>
        <w:t>cted fields. A list of journals, publishers, and impact factors (as noted by each journal’s website in Spring of 2013 and 2018) were identified for each field. Two journals from each field were selected based on the following criteria: 1) impact factors ov</w:t>
      </w:r>
      <w:r>
        <w:t xml:space="preserve">er one at minimum, 2) a mix of publishers, if possible, and 3) availability due to university resources. These journals, impact factors, and publishers are shown in the online supplemental materials at </w:t>
      </w:r>
      <w:hyperlink r:id="rId8">
        <w:r>
          <w:rPr>
            <w:rStyle w:val="Hyperlink"/>
          </w:rPr>
          <w:t>https://osf.i</w:t>
        </w:r>
        <w:r>
          <w:rPr>
            <w:rStyle w:val="Hyperlink"/>
          </w:rPr>
          <w:t>o/52mqw/</w:t>
        </w:r>
      </w:hyperlink>
      <w:r>
        <w:t>.</w:t>
      </w:r>
    </w:p>
    <w:p w14:paraId="3D0CF3A3" w14:textId="0A253CA7" w:rsidR="00683E57" w:rsidRDefault="00F17784" w:rsidP="00CD7CC1">
      <w:pPr>
        <w:pStyle w:val="Heading2"/>
      </w:pPr>
      <w:bookmarkStart w:id="4" w:name="articles"/>
      <w:r>
        <w:lastRenderedPageBreak/>
        <w:t>Articles</w:t>
      </w:r>
      <w:bookmarkEnd w:id="4"/>
    </w:p>
    <w:p w14:paraId="34EB9612" w14:textId="77777777" w:rsidR="00683E57" w:rsidRDefault="00F17784" w:rsidP="00CD7CC1">
      <w:pPr>
        <w:pStyle w:val="FirstParagraph"/>
        <w:spacing w:after="0"/>
      </w:pPr>
      <w:r>
        <w:t>Fifty articles from each journal were manually examined for data analysis: In the Spring of 2013, 25 articles were collected from each journal from 2012 backward, then, in the Fall of 2017, 25 articles were collected from 2017 backwa</w:t>
      </w:r>
      <w:r>
        <w:t xml:space="preserve">rd. Data collection of articles started at the last volume publication from the given year (2012 or 2017) and progressed backwards until 25 articles had been found. Thus, while some journals may only include articles from 2012, other journals will include </w:t>
      </w:r>
      <w:r>
        <w:t>articles from previous years in order to fulfill the 25 article goal. Articles were included if they met the following criteria: 1) included data analyses, 2) included multiple participants or data-points, and 3) analyses were based on human subjects or st</w:t>
      </w:r>
      <w:r>
        <w:t xml:space="preserve">imuli. Therefore, we excluded theory articles, animal populations, and single subject designs. Based on review of the 2012 articles, three fields were excluded. Applied Behavior Analysis articles predominantly included single-subject designs, evolutionary </w:t>
      </w:r>
      <w:r>
        <w:t>psychology articles were primarily theory articles, and statistics related journal articles were based on user simulated data with a specific set of characteristics. Since none of these themes fit into our analysis of understanding data screening with huma</w:t>
      </w:r>
      <w:r>
        <w:t>n subject samples, we excluded those three fields from analyses.</w:t>
      </w:r>
    </w:p>
    <w:p w14:paraId="4CE912EB" w14:textId="51949C19" w:rsidR="00683E57" w:rsidRDefault="00F17784" w:rsidP="00CD7CC1">
      <w:pPr>
        <w:pStyle w:val="Heading2"/>
      </w:pPr>
      <w:bookmarkStart w:id="5" w:name="data-processing"/>
      <w:r>
        <w:t>Data Processing</w:t>
      </w:r>
      <w:bookmarkEnd w:id="5"/>
    </w:p>
    <w:p w14:paraId="2487AE2B" w14:textId="77777777" w:rsidR="00683E57" w:rsidRDefault="00F17784" w:rsidP="00CD7CC1">
      <w:pPr>
        <w:pStyle w:val="FirstParagraph"/>
        <w:spacing w:after="0"/>
      </w:pPr>
      <w:r>
        <w:t>Each article was manually reviewed for key components of data analysis. Each experiment in an article was coded separately. For each experiment, the type of analysis condu</w:t>
      </w:r>
      <w:r>
        <w:t>cted, number of participants/stimuli analyzed, and whether or not they made any mention of outliers were coded by hand by research assistants.</w:t>
      </w:r>
    </w:p>
    <w:p w14:paraId="78C4EE9B" w14:textId="16C8096C" w:rsidR="00683E57" w:rsidRDefault="00CD7CC1" w:rsidP="00CD7CC1">
      <w:pPr>
        <w:pStyle w:val="FirstParagraph"/>
        <w:spacing w:after="0"/>
      </w:pPr>
      <w:r>
        <w:rPr>
          <w:b/>
          <w:bCs/>
        </w:rPr>
        <w:t xml:space="preserve">Analysis </w:t>
      </w:r>
      <w:r w:rsidR="00707193">
        <w:rPr>
          <w:b/>
          <w:bCs/>
        </w:rPr>
        <w:t>t</w:t>
      </w:r>
      <w:r>
        <w:rPr>
          <w:b/>
          <w:bCs/>
        </w:rPr>
        <w:t xml:space="preserve">ypes. </w:t>
      </w:r>
      <w:r w:rsidR="00F17784">
        <w:t xml:space="preserve">Types of analyses were broadly defined as basic statistics (descriptive statistics, </w:t>
      </w:r>
      <w:r w:rsidR="00F17784">
        <w:rPr>
          <w:i/>
        </w:rPr>
        <w:t>z</w:t>
      </w:r>
      <w:r w:rsidR="00F17784">
        <w:t>-score</w:t>
      </w:r>
      <w:r w:rsidR="00F17784">
        <w:t xml:space="preserve">s, </w:t>
      </w:r>
      <w:r w:rsidR="00F17784">
        <w:rPr>
          <w:i/>
        </w:rPr>
        <w:t>t</w:t>
      </w:r>
      <w:r w:rsidR="00F17784">
        <w:t>-tests, and correlations), ANOVAs, regressions, chi-squares, non-parametric statistics, modeling, and Bayesian/other analyses.</w:t>
      </w:r>
    </w:p>
    <w:p w14:paraId="21319837" w14:textId="1B34A2A2" w:rsidR="00683E57" w:rsidRDefault="00707193" w:rsidP="00CD7CC1">
      <w:pPr>
        <w:pStyle w:val="FirstParagraph"/>
        <w:spacing w:after="0"/>
      </w:pPr>
      <w:r>
        <w:rPr>
          <w:b/>
          <w:bCs/>
        </w:rPr>
        <w:lastRenderedPageBreak/>
        <w:t xml:space="preserve">Outlier coding. </w:t>
      </w:r>
      <w:r w:rsidR="00F17784">
        <w:t>For reporting of outliers, the project team used a dichotomous yes/no coding regarding whether or not t</w:t>
      </w:r>
      <w:r w:rsidR="00F17784">
        <w:t xml:space="preserve">hey were mentioned in an article. Outliers were not limited to simple statistical analysis of discrepant responses, but we also coded for specific exclusion criteria that were not related to missing data or study characteristics (i.e., we did not consider </w:t>
      </w:r>
      <w:r w:rsidR="00F17784">
        <w:t>it an outlier if they were only looking for older adults). If outliers were mentioned, we coded information about outliers into four types: 1) people, 2) data points, 3) both, or 4) none found. Data that were coded as data points refer to the identificatio</w:t>
      </w:r>
      <w:r w:rsidR="00F17784">
        <w:t>n of individual trials being outlying while those coded as people referred to identification of the participant’s entire row of data being outlying. We found that a unique code for data points was important for analyses with response time studies where ind</w:t>
      </w:r>
      <w:r w:rsidR="00F17784">
        <w:t>ividual participants were not omitted but rather specific data trials were eliminated.</w:t>
      </w:r>
    </w:p>
    <w:p w14:paraId="06A94D33" w14:textId="77777777" w:rsidR="00683E57" w:rsidRDefault="00F17784" w:rsidP="00CD7CC1">
      <w:pPr>
        <w:pStyle w:val="BodyText"/>
        <w:spacing w:after="0"/>
      </w:pPr>
      <w:r>
        <w:t>Then, for those articles that mentioned outliers, the author’s decision for how to handle the outliers was hand coded into whether they removed participants/data points,</w:t>
      </w:r>
      <w:r>
        <w:t xml:space="preserve"> left these outliers in the analysis, or winsorized the data points. Experiments were coded for whether they tested the analyses with, without, or both for determination of their effect on the study. If they removed outliers, a new sample size was recorded</w:t>
      </w:r>
      <w:r>
        <w:t>. However, this data was not analyzed, as we determined it was conflated with removal of other types of data unrelated to the interest of this paper (e.g., missing data). Lastly, we coded the reasoning for outlier detection as one or more of the following:</w:t>
      </w:r>
      <w:r>
        <w:t xml:space="preserve"> 1) Statistical reason (e.g., used numbers to define odd or deviant behavior in responding, such as </w:t>
      </w:r>
      <w:r>
        <w:rPr>
          <w:i/>
        </w:rPr>
        <w:t>z</w:t>
      </w:r>
      <w:r>
        <w:t>-score or Mahalanobis distance scores), 2) Participant error (e.g., failed attention checks, did not follow instructions, or low quality data because of pa</w:t>
      </w:r>
      <w:r>
        <w:t>rticipant problems), and 3) Unusable data (e.g., inside knowledge of the study or experimenter/technological problems).</w:t>
      </w:r>
    </w:p>
    <w:p w14:paraId="2803617D" w14:textId="09ACFD7A" w:rsidR="00683E57" w:rsidRDefault="00F17784" w:rsidP="00CD7CC1">
      <w:pPr>
        <w:pStyle w:val="Heading1"/>
      </w:pPr>
      <w:bookmarkStart w:id="6" w:name="results"/>
      <w:r>
        <w:lastRenderedPageBreak/>
        <w:t>Results</w:t>
      </w:r>
      <w:bookmarkEnd w:id="6"/>
    </w:p>
    <w:p w14:paraId="24BFC896" w14:textId="6AC38DE3" w:rsidR="00683E57" w:rsidRDefault="00F17784" w:rsidP="00CD7CC1">
      <w:pPr>
        <w:pStyle w:val="Heading2"/>
      </w:pPr>
      <w:bookmarkStart w:id="7" w:name="data-analytic-plan"/>
      <w:r>
        <w:t>Data Analytic Plan</w:t>
      </w:r>
      <w:bookmarkEnd w:id="7"/>
    </w:p>
    <w:p w14:paraId="6C7EE39A" w14:textId="77777777" w:rsidR="00683E57" w:rsidRDefault="00F17784" w:rsidP="00CD7CC1">
      <w:pPr>
        <w:pStyle w:val="FirstParagraph"/>
        <w:spacing w:after="0"/>
      </w:pPr>
      <w:r>
        <w:t xml:space="preserve">Because each article constituted multiple data points within the dataset which were each nested within </w:t>
      </w:r>
      <w:r>
        <w:t xml:space="preserve">a particular journal and article, a multilevel model (MLM) was used to control for correlated error (Gelman, 2006). The Pinheiro, Bates, Debroy, Sarkar, and R Core Team (2017) </w:t>
      </w:r>
      <w:r>
        <w:rPr>
          <w:i/>
        </w:rPr>
        <w:t>nlme</w:t>
      </w:r>
      <w:r>
        <w:t xml:space="preserve"> package in </w:t>
      </w:r>
      <w:r>
        <w:rPr>
          <w:i/>
        </w:rPr>
        <w:t>R</w:t>
      </w:r>
      <w:r>
        <w:t xml:space="preserve"> was used to calculate these analyses. A maximum likelihood log</w:t>
      </w:r>
      <w:r>
        <w:t>istic multilevel model was used to examine how the year in which the experiment was published predicted the likelihood of mentioning outliers (yes/no) while including a random intercept for journal and article. This model was analyzed over all of the data,</w:t>
      </w:r>
      <w:r>
        <w:t xml:space="preserve"> as well as broken down by sub-fields or analyses in order to glean a more detailed account of the effect of year on outlier reporting. Additionally, three MLMs were analyzed attempting to individually predict each outlier reason (i.e., statistical reason </w:t>
      </w:r>
      <w:r>
        <w:t>yes/no; unusable data yes/no; participant reason yes/no) given the year while including a random intercept for journal and article. We did not use publication year as a dichotomous variable, as not all articles were from 2012 or 2017 because of publication</w:t>
      </w:r>
      <w:r>
        <w:t xml:space="preserve"> rates (i.e., number of articles and issues per year) and article exclusions. Publication year ranged from 2001 to 2013 for articles collected in 2012, and 2015 to 2018 for articles collected in 2017 (several articles were considered online first with publ</w:t>
      </w:r>
      <w:r>
        <w:t>ication dates officially in 2018, and the official data was used for each article). Therefore, we treated this variable as continuous to capture the differences in years present across each subfield and time point collected. Data is presented in tables dic</w:t>
      </w:r>
      <w:r>
        <w:t>hotomously to preserve space. We further explored whether these outliers were people or data points, how outliers were handled, and the reasons data were named outliers with descriptive statistics. All code and data can be viewed inline with the manuscript</w:t>
      </w:r>
      <w:r>
        <w:t xml:space="preserve">, which was written with the </w:t>
      </w:r>
      <w:r>
        <w:rPr>
          <w:i/>
        </w:rPr>
        <w:t>papaja</w:t>
      </w:r>
      <w:r>
        <w:t xml:space="preserve"> package (Aust &amp; Barth, 2017).</w:t>
      </w:r>
    </w:p>
    <w:p w14:paraId="5AEE853A" w14:textId="55E77F3D" w:rsidR="00683E57" w:rsidRDefault="00F17784" w:rsidP="00CD7CC1">
      <w:pPr>
        <w:pStyle w:val="Heading2"/>
      </w:pPr>
      <w:bookmarkStart w:id="8" w:name="overall-outliers"/>
      <w:r>
        <w:lastRenderedPageBreak/>
        <w:t>Overall Outliers</w:t>
      </w:r>
      <w:bookmarkEnd w:id="8"/>
    </w:p>
    <w:p w14:paraId="0B79ECB2" w14:textId="77777777" w:rsidR="00683E57" w:rsidRDefault="00F17784" w:rsidP="00CD7CC1">
      <w:pPr>
        <w:pStyle w:val="FirstParagraph"/>
        <w:spacing w:after="0"/>
      </w:pPr>
      <w:r>
        <w:t>Data processing resulted in a total of 2235 experiments being coded, 1085 of which were from 2012 or prior, with the additional 1150 being from 2017 or prior. Investigat</w:t>
      </w:r>
      <w:r>
        <w:t xml:space="preserve">ing reporting of outliers, we found that in 2012, 15.7% of experiments mentioned outliers, while in 2017, 25.0% of experiments mentioned outliers. Actual publication year was used to predict outlier mention (yes/no) with a random intercept for journal and </w:t>
      </w:r>
      <w:r>
        <w:t xml:space="preserve">article, as described above. We found that publication year predicted outlier mentions, </w:t>
      </w:r>
      <w:r>
        <w:rPr>
          <w:i/>
        </w:rPr>
        <w:t>Z</w:t>
      </w:r>
      <w:r>
        <w:t xml:space="preserve"> = 2.74, </w:t>
      </w:r>
      <w:r>
        <w:rPr>
          <w:i/>
        </w:rPr>
        <w:t>p</w:t>
      </w:r>
      <w:r>
        <w:t xml:space="preserve"> = .006. Each year, experiments were 12.2% more likely to report outliers as the previous year.</w:t>
      </w:r>
    </w:p>
    <w:p w14:paraId="5F7A2E59" w14:textId="7300CECA" w:rsidR="00683E57" w:rsidRDefault="00F17784" w:rsidP="00CD7CC1">
      <w:pPr>
        <w:pStyle w:val="Heading2"/>
      </w:pPr>
      <w:bookmarkStart w:id="9" w:name="fields-1"/>
      <w:r>
        <w:t>Fields</w:t>
      </w:r>
      <w:bookmarkEnd w:id="9"/>
    </w:p>
    <w:p w14:paraId="6D50E352" w14:textId="77777777" w:rsidR="00683E57" w:rsidRDefault="00F17784" w:rsidP="00CD7CC1">
      <w:pPr>
        <w:pStyle w:val="FirstParagraph"/>
        <w:spacing w:after="0"/>
      </w:pPr>
      <w:r>
        <w:t>Further exploration reveals that differences in re</w:t>
      </w:r>
      <w:r>
        <w:t>porting between years arise between fields which can be seen in Table 1. Figure 1 displays the percentage of outlier mentions of each field colored by year examined. A MLM was analyzed for each field using journal and article as a random intercept to deter</w:t>
      </w:r>
      <w:r>
        <w:t xml:space="preserve">mine the influence of year of publication on outlier reporting rates. Specifically, if we look at the change in reporting for each field analyzed at the level of the experiment, we find the largest changes in forensic (43.6% more likely to report), social </w:t>
      </w:r>
      <w:r>
        <w:t>(41.4%), and I/O (33.9%), followed by developmental (22.5%) and cognitive (16.9%). In support of our hypothesis, we found that both social and cognitive fields showed general increases in their outlier reporting; however, it was encouraging to see positive</w:t>
      </w:r>
      <w:r>
        <w:t xml:space="preserve"> trends in other fields as well. These analyses show that in some fields, including overview and neurological fields, we found a decrease in reporting across years, although these changes were not significant.</w:t>
      </w:r>
    </w:p>
    <w:p w14:paraId="532DBC92" w14:textId="77777777" w:rsidR="00683E57" w:rsidRDefault="00F17784" w:rsidP="00CD7CC1">
      <w:pPr>
        <w:pStyle w:val="BodyText"/>
        <w:spacing w:after="0"/>
      </w:pPr>
      <w:r>
        <w:t>The analyses shown below were exploratory base</w:t>
      </w:r>
      <w:r>
        <w:t xml:space="preserve">d on the findings when coding each experiment for outlier data. We explored the relationship of outlier reporting to the type of </w:t>
      </w:r>
      <w:r>
        <w:lastRenderedPageBreak/>
        <w:t>analysis used in each experiment, reasons for why outliers were excluded, as well as the type of outlier excluded from the stud</w:t>
      </w:r>
      <w:r>
        <w:t>y.</w:t>
      </w:r>
    </w:p>
    <w:p w14:paraId="1CA80994" w14:textId="77777777" w:rsidR="00683E57" w:rsidRDefault="00F17784" w:rsidP="00CD7CC1">
      <w:pPr>
        <w:pStyle w:val="CaptionedFigure"/>
        <w:spacing w:after="0"/>
      </w:pPr>
      <w:r>
        <w:rPr>
          <w:noProof/>
        </w:rPr>
        <w:drawing>
          <wp:inline distT="0" distB="0" distL="0" distR="0" wp14:anchorId="1027017C" wp14:editId="4370B94E">
            <wp:extent cx="5969000" cy="4476750"/>
            <wp:effectExtent l="0" t="0" r="0" b="0"/>
            <wp:docPr id="1" name="Picture" descr="Figure 1.   Percent of outlier mentions by sub-domain field and year examined. Error bars represent 95% confidence interval."/>
            <wp:cNvGraphicFramePr/>
            <a:graphic xmlns:a="http://schemas.openxmlformats.org/drawingml/2006/main">
              <a:graphicData uri="http://schemas.openxmlformats.org/drawingml/2006/picture">
                <pic:pic xmlns:pic="http://schemas.openxmlformats.org/drawingml/2006/picture">
                  <pic:nvPicPr>
                    <pic:cNvPr id="0" name="Picture" descr="outliers-manuscript_files/figure-docx/type-graph-1.png"/>
                    <pic:cNvPicPr>
                      <a:picLocks noChangeAspect="1" noChangeArrowheads="1"/>
                    </pic:cNvPicPr>
                  </pic:nvPicPr>
                  <pic:blipFill>
                    <a:blip r:embed="rId9"/>
                    <a:stretch>
                      <a:fillRect/>
                    </a:stretch>
                  </pic:blipFill>
                  <pic:spPr bwMode="auto">
                    <a:xfrm>
                      <a:off x="0" y="0"/>
                      <a:ext cx="5969000" cy="4476750"/>
                    </a:xfrm>
                    <a:prstGeom prst="rect">
                      <a:avLst/>
                    </a:prstGeom>
                    <a:noFill/>
                    <a:ln w="9525">
                      <a:noFill/>
                      <a:headEnd/>
                      <a:tailEnd/>
                    </a:ln>
                  </pic:spPr>
                </pic:pic>
              </a:graphicData>
            </a:graphic>
          </wp:inline>
        </w:drawing>
      </w:r>
    </w:p>
    <w:p w14:paraId="758432C0" w14:textId="77777777" w:rsidR="00683E57" w:rsidRDefault="00F17784" w:rsidP="00CD7CC1">
      <w:pPr>
        <w:pStyle w:val="ImageCaption"/>
        <w:spacing w:after="0"/>
      </w:pPr>
      <w:r>
        <w:rPr>
          <w:i/>
        </w:rPr>
        <w:t>Figure</w:t>
      </w:r>
      <w:r>
        <w:t xml:space="preserve"> </w:t>
      </w:r>
      <w:r>
        <w:rPr>
          <w:i/>
        </w:rPr>
        <w:t xml:space="preserve">1.  </w:t>
      </w:r>
      <w:r>
        <w:t xml:space="preserve"> Percent of outlier mentions by sub-domain field and year examined. Error bars represent 95% confidence interval.</w:t>
      </w:r>
    </w:p>
    <w:p w14:paraId="6B9BF498" w14:textId="010A2388" w:rsidR="00683E57" w:rsidRDefault="00F17784" w:rsidP="00CD7CC1">
      <w:pPr>
        <w:pStyle w:val="Compact"/>
        <w:spacing w:after="0" w:line="480" w:lineRule="auto"/>
      </w:pPr>
      <w:r>
        <w:t>Table 1</w:t>
      </w:r>
    </w:p>
    <w:p w14:paraId="59036D5E" w14:textId="77777777" w:rsidR="00683E57" w:rsidRDefault="00F17784" w:rsidP="00CD7CC1">
      <w:pPr>
        <w:pStyle w:val="TableCaption"/>
        <w:spacing w:after="0"/>
      </w:pPr>
      <w:r>
        <w:t>Outlier Reporting by Field Across Years</w:t>
      </w:r>
    </w:p>
    <w:tbl>
      <w:tblPr>
        <w:tblStyle w:val="Table"/>
        <w:tblW w:w="0" w:type="pct"/>
        <w:tblLook w:val="07E0" w:firstRow="1" w:lastRow="1" w:firstColumn="1" w:lastColumn="1" w:noHBand="1" w:noVBand="1"/>
      </w:tblPr>
      <w:tblGrid>
        <w:gridCol w:w="1683"/>
        <w:gridCol w:w="716"/>
        <w:gridCol w:w="698"/>
        <w:gridCol w:w="716"/>
        <w:gridCol w:w="698"/>
        <w:gridCol w:w="636"/>
        <w:gridCol w:w="716"/>
        <w:gridCol w:w="636"/>
      </w:tblGrid>
      <w:tr w:rsidR="00683E57" w14:paraId="23E59292" w14:textId="77777777" w:rsidTr="00683E5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3879C9E" w14:textId="77777777" w:rsidR="00683E57" w:rsidRDefault="00F17784" w:rsidP="00CD7CC1">
            <w:pPr>
              <w:pStyle w:val="Compact"/>
              <w:spacing w:after="0" w:line="480" w:lineRule="auto"/>
            </w:pPr>
            <w:r>
              <w:t>Field</w:t>
            </w:r>
          </w:p>
        </w:tc>
        <w:tc>
          <w:tcPr>
            <w:tcW w:w="0" w:type="auto"/>
            <w:tcBorders>
              <w:bottom w:val="single" w:sz="0" w:space="0" w:color="auto"/>
            </w:tcBorders>
            <w:vAlign w:val="bottom"/>
          </w:tcPr>
          <w:p w14:paraId="349041B3" w14:textId="77777777" w:rsidR="00683E57" w:rsidRDefault="00F17784" w:rsidP="00CD7CC1">
            <w:pPr>
              <w:pStyle w:val="Compact"/>
              <w:spacing w:after="0" w:line="480" w:lineRule="auto"/>
              <w:jc w:val="center"/>
            </w:pPr>
            <w:r>
              <w:t>% 12</w:t>
            </w:r>
          </w:p>
        </w:tc>
        <w:tc>
          <w:tcPr>
            <w:tcW w:w="0" w:type="auto"/>
            <w:tcBorders>
              <w:bottom w:val="single" w:sz="0" w:space="0" w:color="auto"/>
            </w:tcBorders>
            <w:vAlign w:val="bottom"/>
          </w:tcPr>
          <w:p w14:paraId="1D3543E0" w14:textId="77777777" w:rsidR="00683E57" w:rsidRDefault="00F17784" w:rsidP="00CD7CC1">
            <w:pPr>
              <w:pStyle w:val="Compact"/>
              <w:spacing w:after="0" w:line="480" w:lineRule="auto"/>
              <w:jc w:val="center"/>
            </w:pPr>
            <m:oMath>
              <m:r>
                <w:rPr>
                  <w:rFonts w:ascii="Cambria Math" w:hAnsi="Cambria Math"/>
                </w:rPr>
                <m:t>N</m:t>
              </m:r>
            </m:oMath>
            <w:r>
              <w:t xml:space="preserve"> 12</w:t>
            </w:r>
          </w:p>
        </w:tc>
        <w:tc>
          <w:tcPr>
            <w:tcW w:w="0" w:type="auto"/>
            <w:tcBorders>
              <w:bottom w:val="single" w:sz="0" w:space="0" w:color="auto"/>
            </w:tcBorders>
            <w:vAlign w:val="bottom"/>
          </w:tcPr>
          <w:p w14:paraId="1F79A5AB" w14:textId="77777777" w:rsidR="00683E57" w:rsidRDefault="00F17784" w:rsidP="00CD7CC1">
            <w:pPr>
              <w:pStyle w:val="Compact"/>
              <w:spacing w:after="0" w:line="480" w:lineRule="auto"/>
              <w:jc w:val="center"/>
            </w:pPr>
            <w:r>
              <w:t>% 17</w:t>
            </w:r>
          </w:p>
        </w:tc>
        <w:tc>
          <w:tcPr>
            <w:tcW w:w="0" w:type="auto"/>
            <w:tcBorders>
              <w:bottom w:val="single" w:sz="0" w:space="0" w:color="auto"/>
            </w:tcBorders>
            <w:vAlign w:val="bottom"/>
          </w:tcPr>
          <w:p w14:paraId="18D55AEE" w14:textId="77777777" w:rsidR="00683E57" w:rsidRDefault="00F17784" w:rsidP="00CD7CC1">
            <w:pPr>
              <w:pStyle w:val="Compact"/>
              <w:spacing w:after="0" w:line="480" w:lineRule="auto"/>
              <w:jc w:val="center"/>
            </w:pPr>
            <m:oMath>
              <m:r>
                <w:rPr>
                  <w:rFonts w:ascii="Cambria Math" w:hAnsi="Cambria Math"/>
                </w:rPr>
                <m:t>N</m:t>
              </m:r>
            </m:oMath>
            <w:r>
              <w:t xml:space="preserve"> 17</w:t>
            </w:r>
          </w:p>
        </w:tc>
        <w:tc>
          <w:tcPr>
            <w:tcW w:w="0" w:type="auto"/>
            <w:tcBorders>
              <w:bottom w:val="single" w:sz="0" w:space="0" w:color="auto"/>
            </w:tcBorders>
            <w:vAlign w:val="bottom"/>
          </w:tcPr>
          <w:p w14:paraId="4C0E0CB7" w14:textId="77777777" w:rsidR="00683E57" w:rsidRDefault="00F17784" w:rsidP="00CD7CC1">
            <w:pPr>
              <w:pStyle w:val="Compact"/>
              <w:spacing w:after="0" w:line="480" w:lineRule="auto"/>
              <w:jc w:val="center"/>
            </w:pPr>
            <w:r>
              <w:t>OR</w:t>
            </w:r>
          </w:p>
        </w:tc>
        <w:tc>
          <w:tcPr>
            <w:tcW w:w="0" w:type="auto"/>
            <w:tcBorders>
              <w:bottom w:val="single" w:sz="0" w:space="0" w:color="auto"/>
            </w:tcBorders>
            <w:vAlign w:val="bottom"/>
          </w:tcPr>
          <w:p w14:paraId="520AA16B" w14:textId="77777777" w:rsidR="00683E57" w:rsidRDefault="00F17784" w:rsidP="00CD7CC1">
            <w:pPr>
              <w:pStyle w:val="Compact"/>
              <w:spacing w:after="0" w:line="480" w:lineRule="auto"/>
              <w:jc w:val="center"/>
            </w:pPr>
            <m:oMathPara>
              <m:oMath>
                <m:r>
                  <w:rPr>
                    <w:rFonts w:ascii="Cambria Math" w:hAnsi="Cambria Math"/>
                  </w:rPr>
                  <m:t>Z</m:t>
                </m:r>
              </m:oMath>
            </m:oMathPara>
          </w:p>
        </w:tc>
        <w:tc>
          <w:tcPr>
            <w:tcW w:w="0" w:type="auto"/>
            <w:tcBorders>
              <w:bottom w:val="single" w:sz="0" w:space="0" w:color="auto"/>
            </w:tcBorders>
            <w:vAlign w:val="bottom"/>
          </w:tcPr>
          <w:p w14:paraId="7CDF7702" w14:textId="77777777" w:rsidR="00683E57" w:rsidRDefault="00F17784" w:rsidP="00CD7CC1">
            <w:pPr>
              <w:pStyle w:val="Compact"/>
              <w:spacing w:after="0" w:line="480" w:lineRule="auto"/>
              <w:jc w:val="center"/>
            </w:pPr>
            <m:oMathPara>
              <m:oMath>
                <m:r>
                  <w:rPr>
                    <w:rFonts w:ascii="Cambria Math" w:hAnsi="Cambria Math"/>
                  </w:rPr>
                  <m:t>p</m:t>
                </m:r>
              </m:oMath>
            </m:oMathPara>
          </w:p>
        </w:tc>
      </w:tr>
      <w:tr w:rsidR="00683E57" w14:paraId="41E96394" w14:textId="77777777">
        <w:tc>
          <w:tcPr>
            <w:tcW w:w="0" w:type="auto"/>
          </w:tcPr>
          <w:p w14:paraId="3934B4D8" w14:textId="77777777" w:rsidR="00683E57" w:rsidRDefault="00F17784" w:rsidP="00CD7CC1">
            <w:pPr>
              <w:pStyle w:val="Compact"/>
              <w:spacing w:after="0" w:line="480" w:lineRule="auto"/>
            </w:pPr>
            <w:r>
              <w:t>Clinical</w:t>
            </w:r>
          </w:p>
        </w:tc>
        <w:tc>
          <w:tcPr>
            <w:tcW w:w="0" w:type="auto"/>
          </w:tcPr>
          <w:p w14:paraId="360A9916" w14:textId="77777777" w:rsidR="00683E57" w:rsidRDefault="00F17784" w:rsidP="00CD7CC1">
            <w:pPr>
              <w:pStyle w:val="Compact"/>
              <w:spacing w:after="0" w:line="480" w:lineRule="auto"/>
              <w:jc w:val="center"/>
            </w:pPr>
            <w:r>
              <w:t>9.3</w:t>
            </w:r>
          </w:p>
        </w:tc>
        <w:tc>
          <w:tcPr>
            <w:tcW w:w="0" w:type="auto"/>
          </w:tcPr>
          <w:p w14:paraId="4F9FB9EE" w14:textId="77777777" w:rsidR="00683E57" w:rsidRDefault="00F17784" w:rsidP="00CD7CC1">
            <w:pPr>
              <w:pStyle w:val="Compact"/>
              <w:spacing w:after="0" w:line="480" w:lineRule="auto"/>
              <w:jc w:val="center"/>
            </w:pPr>
            <w:r>
              <w:t>54</w:t>
            </w:r>
          </w:p>
        </w:tc>
        <w:tc>
          <w:tcPr>
            <w:tcW w:w="0" w:type="auto"/>
          </w:tcPr>
          <w:p w14:paraId="3DACD09A" w14:textId="77777777" w:rsidR="00683E57" w:rsidRDefault="00F17784" w:rsidP="00CD7CC1">
            <w:pPr>
              <w:pStyle w:val="Compact"/>
              <w:spacing w:after="0" w:line="480" w:lineRule="auto"/>
              <w:jc w:val="center"/>
            </w:pPr>
            <w:r>
              <w:t>12.0</w:t>
            </w:r>
          </w:p>
        </w:tc>
        <w:tc>
          <w:tcPr>
            <w:tcW w:w="0" w:type="auto"/>
          </w:tcPr>
          <w:p w14:paraId="29CB886D" w14:textId="77777777" w:rsidR="00683E57" w:rsidRDefault="00F17784" w:rsidP="00CD7CC1">
            <w:pPr>
              <w:pStyle w:val="Compact"/>
              <w:spacing w:after="0" w:line="480" w:lineRule="auto"/>
              <w:jc w:val="center"/>
            </w:pPr>
            <w:r>
              <w:t>50</w:t>
            </w:r>
          </w:p>
        </w:tc>
        <w:tc>
          <w:tcPr>
            <w:tcW w:w="0" w:type="auto"/>
          </w:tcPr>
          <w:p w14:paraId="003D8755" w14:textId="77777777" w:rsidR="00683E57" w:rsidRDefault="00F17784" w:rsidP="00CD7CC1">
            <w:pPr>
              <w:pStyle w:val="Compact"/>
              <w:spacing w:after="0" w:line="480" w:lineRule="auto"/>
              <w:jc w:val="center"/>
            </w:pPr>
            <w:r>
              <w:t>1.06</w:t>
            </w:r>
          </w:p>
        </w:tc>
        <w:tc>
          <w:tcPr>
            <w:tcW w:w="0" w:type="auto"/>
          </w:tcPr>
          <w:p w14:paraId="537D712A" w14:textId="77777777" w:rsidR="00683E57" w:rsidRDefault="00F17784" w:rsidP="00CD7CC1">
            <w:pPr>
              <w:pStyle w:val="Compact"/>
              <w:spacing w:after="0" w:line="480" w:lineRule="auto"/>
              <w:jc w:val="center"/>
            </w:pPr>
            <w:r>
              <w:t>0.43</w:t>
            </w:r>
          </w:p>
        </w:tc>
        <w:tc>
          <w:tcPr>
            <w:tcW w:w="0" w:type="auto"/>
          </w:tcPr>
          <w:p w14:paraId="0E6B3553" w14:textId="77777777" w:rsidR="00683E57" w:rsidRDefault="00F17784" w:rsidP="00CD7CC1">
            <w:pPr>
              <w:pStyle w:val="Compact"/>
              <w:spacing w:after="0" w:line="480" w:lineRule="auto"/>
              <w:jc w:val="center"/>
            </w:pPr>
            <w:r>
              <w:t>.666</w:t>
            </w:r>
          </w:p>
        </w:tc>
      </w:tr>
      <w:tr w:rsidR="00683E57" w14:paraId="1F79E0A3" w14:textId="77777777">
        <w:tc>
          <w:tcPr>
            <w:tcW w:w="0" w:type="auto"/>
          </w:tcPr>
          <w:p w14:paraId="319E07F9" w14:textId="77777777" w:rsidR="00683E57" w:rsidRDefault="00F17784" w:rsidP="00CD7CC1">
            <w:pPr>
              <w:pStyle w:val="Compact"/>
              <w:spacing w:after="0" w:line="480" w:lineRule="auto"/>
            </w:pPr>
            <w:r>
              <w:lastRenderedPageBreak/>
              <w:t>Cognitive</w:t>
            </w:r>
          </w:p>
        </w:tc>
        <w:tc>
          <w:tcPr>
            <w:tcW w:w="0" w:type="auto"/>
          </w:tcPr>
          <w:p w14:paraId="16A4A1D1" w14:textId="77777777" w:rsidR="00683E57" w:rsidRDefault="00F17784" w:rsidP="00CD7CC1">
            <w:pPr>
              <w:pStyle w:val="Compact"/>
              <w:spacing w:after="0" w:line="480" w:lineRule="auto"/>
              <w:jc w:val="center"/>
            </w:pPr>
            <w:r>
              <w:t>31.1</w:t>
            </w:r>
          </w:p>
        </w:tc>
        <w:tc>
          <w:tcPr>
            <w:tcW w:w="0" w:type="auto"/>
          </w:tcPr>
          <w:p w14:paraId="44E097E8" w14:textId="77777777" w:rsidR="00683E57" w:rsidRDefault="00F17784" w:rsidP="00CD7CC1">
            <w:pPr>
              <w:pStyle w:val="Compact"/>
              <w:spacing w:after="0" w:line="480" w:lineRule="auto"/>
              <w:jc w:val="center"/>
            </w:pPr>
            <w:r>
              <w:t>164</w:t>
            </w:r>
          </w:p>
        </w:tc>
        <w:tc>
          <w:tcPr>
            <w:tcW w:w="0" w:type="auto"/>
          </w:tcPr>
          <w:p w14:paraId="773075F8" w14:textId="77777777" w:rsidR="00683E57" w:rsidRDefault="00F17784" w:rsidP="00CD7CC1">
            <w:pPr>
              <w:pStyle w:val="Compact"/>
              <w:spacing w:after="0" w:line="480" w:lineRule="auto"/>
              <w:jc w:val="center"/>
            </w:pPr>
            <w:r>
              <w:t>49.6</w:t>
            </w:r>
          </w:p>
        </w:tc>
        <w:tc>
          <w:tcPr>
            <w:tcW w:w="0" w:type="auto"/>
          </w:tcPr>
          <w:p w14:paraId="192AB15E" w14:textId="77777777" w:rsidR="00683E57" w:rsidRDefault="00F17784" w:rsidP="00CD7CC1">
            <w:pPr>
              <w:pStyle w:val="Compact"/>
              <w:spacing w:after="0" w:line="480" w:lineRule="auto"/>
              <w:jc w:val="center"/>
            </w:pPr>
            <w:r>
              <w:t>135</w:t>
            </w:r>
          </w:p>
        </w:tc>
        <w:tc>
          <w:tcPr>
            <w:tcW w:w="0" w:type="auto"/>
          </w:tcPr>
          <w:p w14:paraId="15E329CF" w14:textId="77777777" w:rsidR="00683E57" w:rsidRDefault="00F17784" w:rsidP="00CD7CC1">
            <w:pPr>
              <w:pStyle w:val="Compact"/>
              <w:spacing w:after="0" w:line="480" w:lineRule="auto"/>
              <w:jc w:val="center"/>
            </w:pPr>
            <w:r>
              <w:t>1.17</w:t>
            </w:r>
          </w:p>
        </w:tc>
        <w:tc>
          <w:tcPr>
            <w:tcW w:w="0" w:type="auto"/>
          </w:tcPr>
          <w:p w14:paraId="46C7A8B0" w14:textId="77777777" w:rsidR="00683E57" w:rsidRDefault="00F17784" w:rsidP="00CD7CC1">
            <w:pPr>
              <w:pStyle w:val="Compact"/>
              <w:spacing w:after="0" w:line="480" w:lineRule="auto"/>
              <w:jc w:val="center"/>
            </w:pPr>
            <w:r>
              <w:t>0.92</w:t>
            </w:r>
          </w:p>
        </w:tc>
        <w:tc>
          <w:tcPr>
            <w:tcW w:w="0" w:type="auto"/>
          </w:tcPr>
          <w:p w14:paraId="749F5481" w14:textId="77777777" w:rsidR="00683E57" w:rsidRDefault="00F17784" w:rsidP="00CD7CC1">
            <w:pPr>
              <w:pStyle w:val="Compact"/>
              <w:spacing w:after="0" w:line="480" w:lineRule="auto"/>
              <w:jc w:val="center"/>
            </w:pPr>
            <w:r>
              <w:t>.357</w:t>
            </w:r>
          </w:p>
        </w:tc>
      </w:tr>
      <w:tr w:rsidR="00683E57" w14:paraId="74B215FD" w14:textId="77777777">
        <w:tc>
          <w:tcPr>
            <w:tcW w:w="0" w:type="auto"/>
          </w:tcPr>
          <w:p w14:paraId="21AB85CA" w14:textId="77777777" w:rsidR="00683E57" w:rsidRDefault="00F17784" w:rsidP="00CD7CC1">
            <w:pPr>
              <w:pStyle w:val="Compact"/>
              <w:spacing w:after="0" w:line="480" w:lineRule="auto"/>
            </w:pPr>
            <w:r>
              <w:t>Counseling</w:t>
            </w:r>
          </w:p>
        </w:tc>
        <w:tc>
          <w:tcPr>
            <w:tcW w:w="0" w:type="auto"/>
          </w:tcPr>
          <w:p w14:paraId="4C384F2E" w14:textId="77777777" w:rsidR="00683E57" w:rsidRDefault="00F17784" w:rsidP="00CD7CC1">
            <w:pPr>
              <w:pStyle w:val="Compact"/>
              <w:spacing w:after="0" w:line="480" w:lineRule="auto"/>
              <w:jc w:val="center"/>
            </w:pPr>
            <w:r>
              <w:t>14.3</w:t>
            </w:r>
          </w:p>
        </w:tc>
        <w:tc>
          <w:tcPr>
            <w:tcW w:w="0" w:type="auto"/>
          </w:tcPr>
          <w:p w14:paraId="2742656A" w14:textId="77777777" w:rsidR="00683E57" w:rsidRDefault="00F17784" w:rsidP="00CD7CC1">
            <w:pPr>
              <w:pStyle w:val="Compact"/>
              <w:spacing w:after="0" w:line="480" w:lineRule="auto"/>
              <w:jc w:val="center"/>
            </w:pPr>
            <w:r>
              <w:t>56</w:t>
            </w:r>
          </w:p>
        </w:tc>
        <w:tc>
          <w:tcPr>
            <w:tcW w:w="0" w:type="auto"/>
          </w:tcPr>
          <w:p w14:paraId="393954D9" w14:textId="77777777" w:rsidR="00683E57" w:rsidRDefault="00F17784" w:rsidP="00CD7CC1">
            <w:pPr>
              <w:pStyle w:val="Compact"/>
              <w:spacing w:after="0" w:line="480" w:lineRule="auto"/>
              <w:jc w:val="center"/>
            </w:pPr>
            <w:r>
              <w:t>28.1</w:t>
            </w:r>
          </w:p>
        </w:tc>
        <w:tc>
          <w:tcPr>
            <w:tcW w:w="0" w:type="auto"/>
          </w:tcPr>
          <w:p w14:paraId="6778CB4B" w14:textId="77777777" w:rsidR="00683E57" w:rsidRDefault="00F17784" w:rsidP="00CD7CC1">
            <w:pPr>
              <w:pStyle w:val="Compact"/>
              <w:spacing w:after="0" w:line="480" w:lineRule="auto"/>
              <w:jc w:val="center"/>
            </w:pPr>
            <w:r>
              <w:t>57</w:t>
            </w:r>
          </w:p>
        </w:tc>
        <w:tc>
          <w:tcPr>
            <w:tcW w:w="0" w:type="auto"/>
          </w:tcPr>
          <w:p w14:paraId="201BDA82" w14:textId="77777777" w:rsidR="00683E57" w:rsidRDefault="00F17784" w:rsidP="00CD7CC1">
            <w:pPr>
              <w:pStyle w:val="Compact"/>
              <w:spacing w:after="0" w:line="480" w:lineRule="auto"/>
              <w:jc w:val="center"/>
            </w:pPr>
            <w:r>
              <w:t>1.20</w:t>
            </w:r>
          </w:p>
        </w:tc>
        <w:tc>
          <w:tcPr>
            <w:tcW w:w="0" w:type="auto"/>
          </w:tcPr>
          <w:p w14:paraId="679A7408" w14:textId="77777777" w:rsidR="00683E57" w:rsidRDefault="00F17784" w:rsidP="00CD7CC1">
            <w:pPr>
              <w:pStyle w:val="Compact"/>
              <w:spacing w:after="0" w:line="480" w:lineRule="auto"/>
              <w:jc w:val="center"/>
            </w:pPr>
            <w:r>
              <w:t>1.80</w:t>
            </w:r>
          </w:p>
        </w:tc>
        <w:tc>
          <w:tcPr>
            <w:tcW w:w="0" w:type="auto"/>
          </w:tcPr>
          <w:p w14:paraId="2B6249B3" w14:textId="77777777" w:rsidR="00683E57" w:rsidRDefault="00F17784" w:rsidP="00CD7CC1">
            <w:pPr>
              <w:pStyle w:val="Compact"/>
              <w:spacing w:after="0" w:line="480" w:lineRule="auto"/>
              <w:jc w:val="center"/>
            </w:pPr>
            <w:r>
              <w:t>.072</w:t>
            </w:r>
          </w:p>
        </w:tc>
      </w:tr>
      <w:tr w:rsidR="00683E57" w14:paraId="6595775F" w14:textId="77777777">
        <w:tc>
          <w:tcPr>
            <w:tcW w:w="0" w:type="auto"/>
          </w:tcPr>
          <w:p w14:paraId="6F02936D" w14:textId="77777777" w:rsidR="00683E57" w:rsidRDefault="00F17784" w:rsidP="00CD7CC1">
            <w:pPr>
              <w:pStyle w:val="Compact"/>
              <w:spacing w:after="0" w:line="480" w:lineRule="auto"/>
            </w:pPr>
            <w:r>
              <w:t>Developmental</w:t>
            </w:r>
          </w:p>
        </w:tc>
        <w:tc>
          <w:tcPr>
            <w:tcW w:w="0" w:type="auto"/>
          </w:tcPr>
          <w:p w14:paraId="50DEBB00" w14:textId="77777777" w:rsidR="00683E57" w:rsidRDefault="00F17784" w:rsidP="00CD7CC1">
            <w:pPr>
              <w:pStyle w:val="Compact"/>
              <w:spacing w:after="0" w:line="480" w:lineRule="auto"/>
              <w:jc w:val="center"/>
            </w:pPr>
            <w:r>
              <w:t>20.0</w:t>
            </w:r>
          </w:p>
        </w:tc>
        <w:tc>
          <w:tcPr>
            <w:tcW w:w="0" w:type="auto"/>
          </w:tcPr>
          <w:p w14:paraId="0BB8D954" w14:textId="77777777" w:rsidR="00683E57" w:rsidRDefault="00F17784" w:rsidP="00CD7CC1">
            <w:pPr>
              <w:pStyle w:val="Compact"/>
              <w:spacing w:after="0" w:line="480" w:lineRule="auto"/>
              <w:jc w:val="center"/>
            </w:pPr>
            <w:r>
              <w:t>70</w:t>
            </w:r>
          </w:p>
        </w:tc>
        <w:tc>
          <w:tcPr>
            <w:tcW w:w="0" w:type="auto"/>
          </w:tcPr>
          <w:p w14:paraId="4D761553" w14:textId="77777777" w:rsidR="00683E57" w:rsidRDefault="00F17784" w:rsidP="00CD7CC1">
            <w:pPr>
              <w:pStyle w:val="Compact"/>
              <w:spacing w:after="0" w:line="480" w:lineRule="auto"/>
              <w:jc w:val="center"/>
            </w:pPr>
            <w:r>
              <w:t>34.4</w:t>
            </w:r>
          </w:p>
        </w:tc>
        <w:tc>
          <w:tcPr>
            <w:tcW w:w="0" w:type="auto"/>
          </w:tcPr>
          <w:p w14:paraId="461CF8A1" w14:textId="77777777" w:rsidR="00683E57" w:rsidRDefault="00F17784" w:rsidP="00CD7CC1">
            <w:pPr>
              <w:pStyle w:val="Compact"/>
              <w:spacing w:after="0" w:line="480" w:lineRule="auto"/>
              <w:jc w:val="center"/>
            </w:pPr>
            <w:r>
              <w:t>61</w:t>
            </w:r>
          </w:p>
        </w:tc>
        <w:tc>
          <w:tcPr>
            <w:tcW w:w="0" w:type="auto"/>
          </w:tcPr>
          <w:p w14:paraId="607B0C68" w14:textId="77777777" w:rsidR="00683E57" w:rsidRDefault="00F17784" w:rsidP="00CD7CC1">
            <w:pPr>
              <w:pStyle w:val="Compact"/>
              <w:spacing w:after="0" w:line="480" w:lineRule="auto"/>
              <w:jc w:val="center"/>
            </w:pPr>
            <w:r>
              <w:t>1.22</w:t>
            </w:r>
          </w:p>
        </w:tc>
        <w:tc>
          <w:tcPr>
            <w:tcW w:w="0" w:type="auto"/>
          </w:tcPr>
          <w:p w14:paraId="6B97DC67" w14:textId="77777777" w:rsidR="00683E57" w:rsidRDefault="00F17784" w:rsidP="00CD7CC1">
            <w:pPr>
              <w:pStyle w:val="Compact"/>
              <w:spacing w:after="0" w:line="480" w:lineRule="auto"/>
              <w:jc w:val="center"/>
            </w:pPr>
            <w:r>
              <w:t>1.41</w:t>
            </w:r>
          </w:p>
        </w:tc>
        <w:tc>
          <w:tcPr>
            <w:tcW w:w="0" w:type="auto"/>
          </w:tcPr>
          <w:p w14:paraId="3BEF4777" w14:textId="77777777" w:rsidR="00683E57" w:rsidRDefault="00F17784" w:rsidP="00CD7CC1">
            <w:pPr>
              <w:pStyle w:val="Compact"/>
              <w:spacing w:after="0" w:line="480" w:lineRule="auto"/>
              <w:jc w:val="center"/>
            </w:pPr>
            <w:r>
              <w:t>.158</w:t>
            </w:r>
          </w:p>
        </w:tc>
      </w:tr>
      <w:tr w:rsidR="00683E57" w14:paraId="4BF2DE5A" w14:textId="77777777">
        <w:tc>
          <w:tcPr>
            <w:tcW w:w="0" w:type="auto"/>
          </w:tcPr>
          <w:p w14:paraId="32115ADE" w14:textId="77777777" w:rsidR="00683E57" w:rsidRDefault="00F17784" w:rsidP="00CD7CC1">
            <w:pPr>
              <w:pStyle w:val="Compact"/>
              <w:spacing w:after="0" w:line="480" w:lineRule="auto"/>
            </w:pPr>
            <w:r>
              <w:t>Educational</w:t>
            </w:r>
          </w:p>
        </w:tc>
        <w:tc>
          <w:tcPr>
            <w:tcW w:w="0" w:type="auto"/>
          </w:tcPr>
          <w:p w14:paraId="5ED7CAF1" w14:textId="77777777" w:rsidR="00683E57" w:rsidRDefault="00F17784" w:rsidP="00CD7CC1">
            <w:pPr>
              <w:pStyle w:val="Compact"/>
              <w:spacing w:after="0" w:line="480" w:lineRule="auto"/>
              <w:jc w:val="center"/>
            </w:pPr>
            <w:r>
              <w:t>8.9</w:t>
            </w:r>
          </w:p>
        </w:tc>
        <w:tc>
          <w:tcPr>
            <w:tcW w:w="0" w:type="auto"/>
          </w:tcPr>
          <w:p w14:paraId="179166A8" w14:textId="77777777" w:rsidR="00683E57" w:rsidRDefault="00F17784" w:rsidP="00CD7CC1">
            <w:pPr>
              <w:pStyle w:val="Compact"/>
              <w:spacing w:after="0" w:line="480" w:lineRule="auto"/>
              <w:jc w:val="center"/>
            </w:pPr>
            <w:r>
              <w:t>56</w:t>
            </w:r>
          </w:p>
        </w:tc>
        <w:tc>
          <w:tcPr>
            <w:tcW w:w="0" w:type="auto"/>
          </w:tcPr>
          <w:p w14:paraId="401BEC1C" w14:textId="77777777" w:rsidR="00683E57" w:rsidRDefault="00F17784" w:rsidP="00CD7CC1">
            <w:pPr>
              <w:pStyle w:val="Compact"/>
              <w:spacing w:after="0" w:line="480" w:lineRule="auto"/>
              <w:jc w:val="center"/>
            </w:pPr>
            <w:r>
              <w:t>12.1</w:t>
            </w:r>
          </w:p>
        </w:tc>
        <w:tc>
          <w:tcPr>
            <w:tcW w:w="0" w:type="auto"/>
          </w:tcPr>
          <w:p w14:paraId="0A3DC70A" w14:textId="77777777" w:rsidR="00683E57" w:rsidRDefault="00F17784" w:rsidP="00CD7CC1">
            <w:pPr>
              <w:pStyle w:val="Compact"/>
              <w:spacing w:after="0" w:line="480" w:lineRule="auto"/>
              <w:jc w:val="center"/>
            </w:pPr>
            <w:r>
              <w:t>58</w:t>
            </w:r>
          </w:p>
        </w:tc>
        <w:tc>
          <w:tcPr>
            <w:tcW w:w="0" w:type="auto"/>
          </w:tcPr>
          <w:p w14:paraId="7F098E70" w14:textId="77777777" w:rsidR="00683E57" w:rsidRDefault="00F17784" w:rsidP="00CD7CC1">
            <w:pPr>
              <w:pStyle w:val="Compact"/>
              <w:spacing w:after="0" w:line="480" w:lineRule="auto"/>
              <w:jc w:val="center"/>
            </w:pPr>
            <w:r>
              <w:t>1.07</w:t>
            </w:r>
          </w:p>
        </w:tc>
        <w:tc>
          <w:tcPr>
            <w:tcW w:w="0" w:type="auto"/>
          </w:tcPr>
          <w:p w14:paraId="2CAA6DA7" w14:textId="77777777" w:rsidR="00683E57" w:rsidRDefault="00F17784" w:rsidP="00CD7CC1">
            <w:pPr>
              <w:pStyle w:val="Compact"/>
              <w:spacing w:after="0" w:line="480" w:lineRule="auto"/>
              <w:jc w:val="center"/>
            </w:pPr>
            <w:r>
              <w:t>0.55</w:t>
            </w:r>
          </w:p>
        </w:tc>
        <w:tc>
          <w:tcPr>
            <w:tcW w:w="0" w:type="auto"/>
          </w:tcPr>
          <w:p w14:paraId="213D6906" w14:textId="77777777" w:rsidR="00683E57" w:rsidRDefault="00F17784" w:rsidP="00CD7CC1">
            <w:pPr>
              <w:pStyle w:val="Compact"/>
              <w:spacing w:after="0" w:line="480" w:lineRule="auto"/>
              <w:jc w:val="center"/>
            </w:pPr>
            <w:r>
              <w:t>.585</w:t>
            </w:r>
          </w:p>
        </w:tc>
      </w:tr>
      <w:tr w:rsidR="00683E57" w14:paraId="0B472416" w14:textId="77777777">
        <w:tc>
          <w:tcPr>
            <w:tcW w:w="0" w:type="auto"/>
          </w:tcPr>
          <w:p w14:paraId="3F48EE00" w14:textId="77777777" w:rsidR="00683E57" w:rsidRDefault="00F17784" w:rsidP="00CD7CC1">
            <w:pPr>
              <w:pStyle w:val="Compact"/>
              <w:spacing w:after="0" w:line="480" w:lineRule="auto"/>
            </w:pPr>
            <w:r>
              <w:t>Environmental</w:t>
            </w:r>
          </w:p>
        </w:tc>
        <w:tc>
          <w:tcPr>
            <w:tcW w:w="0" w:type="auto"/>
          </w:tcPr>
          <w:p w14:paraId="6BDF3E87" w14:textId="77777777" w:rsidR="00683E57" w:rsidRDefault="00F17784" w:rsidP="00CD7CC1">
            <w:pPr>
              <w:pStyle w:val="Compact"/>
              <w:spacing w:after="0" w:line="480" w:lineRule="auto"/>
              <w:jc w:val="center"/>
            </w:pPr>
            <w:r>
              <w:t>12.1</w:t>
            </w:r>
          </w:p>
        </w:tc>
        <w:tc>
          <w:tcPr>
            <w:tcW w:w="0" w:type="auto"/>
          </w:tcPr>
          <w:p w14:paraId="6E6EBAA6" w14:textId="77777777" w:rsidR="00683E57" w:rsidRDefault="00F17784" w:rsidP="00CD7CC1">
            <w:pPr>
              <w:pStyle w:val="Compact"/>
              <w:spacing w:after="0" w:line="480" w:lineRule="auto"/>
              <w:jc w:val="center"/>
            </w:pPr>
            <w:r>
              <w:t>58</w:t>
            </w:r>
          </w:p>
        </w:tc>
        <w:tc>
          <w:tcPr>
            <w:tcW w:w="0" w:type="auto"/>
          </w:tcPr>
          <w:p w14:paraId="28FB6B04" w14:textId="77777777" w:rsidR="00683E57" w:rsidRDefault="00F17784" w:rsidP="00CD7CC1">
            <w:pPr>
              <w:pStyle w:val="Compact"/>
              <w:spacing w:after="0" w:line="480" w:lineRule="auto"/>
              <w:jc w:val="center"/>
            </w:pPr>
            <w:r>
              <w:t>12.1</w:t>
            </w:r>
          </w:p>
        </w:tc>
        <w:tc>
          <w:tcPr>
            <w:tcW w:w="0" w:type="auto"/>
          </w:tcPr>
          <w:p w14:paraId="504543E8" w14:textId="77777777" w:rsidR="00683E57" w:rsidRDefault="00F17784" w:rsidP="00CD7CC1">
            <w:pPr>
              <w:pStyle w:val="Compact"/>
              <w:spacing w:after="0" w:line="480" w:lineRule="auto"/>
              <w:jc w:val="center"/>
            </w:pPr>
            <w:r>
              <w:t>58</w:t>
            </w:r>
          </w:p>
        </w:tc>
        <w:tc>
          <w:tcPr>
            <w:tcW w:w="0" w:type="auto"/>
          </w:tcPr>
          <w:p w14:paraId="0C4AF1C1" w14:textId="77777777" w:rsidR="00683E57" w:rsidRDefault="00F17784" w:rsidP="00CD7CC1">
            <w:pPr>
              <w:pStyle w:val="Compact"/>
              <w:spacing w:after="0" w:line="480" w:lineRule="auto"/>
              <w:jc w:val="center"/>
            </w:pPr>
            <w:r>
              <w:t>1.01</w:t>
            </w:r>
          </w:p>
        </w:tc>
        <w:tc>
          <w:tcPr>
            <w:tcW w:w="0" w:type="auto"/>
          </w:tcPr>
          <w:p w14:paraId="32291DC1" w14:textId="77777777" w:rsidR="00683E57" w:rsidRDefault="00F17784" w:rsidP="00CD7CC1">
            <w:pPr>
              <w:pStyle w:val="Compact"/>
              <w:spacing w:after="0" w:line="480" w:lineRule="auto"/>
              <w:jc w:val="center"/>
            </w:pPr>
            <w:r>
              <w:t>0.05</w:t>
            </w:r>
          </w:p>
        </w:tc>
        <w:tc>
          <w:tcPr>
            <w:tcW w:w="0" w:type="auto"/>
          </w:tcPr>
          <w:p w14:paraId="6E674822" w14:textId="77777777" w:rsidR="00683E57" w:rsidRDefault="00F17784" w:rsidP="00CD7CC1">
            <w:pPr>
              <w:pStyle w:val="Compact"/>
              <w:spacing w:after="0" w:line="480" w:lineRule="auto"/>
              <w:jc w:val="center"/>
            </w:pPr>
            <w:r>
              <w:t>.957</w:t>
            </w:r>
          </w:p>
        </w:tc>
      </w:tr>
      <w:tr w:rsidR="00683E57" w14:paraId="2AF36B07" w14:textId="77777777">
        <w:tc>
          <w:tcPr>
            <w:tcW w:w="0" w:type="auto"/>
          </w:tcPr>
          <w:p w14:paraId="43400A7A" w14:textId="77777777" w:rsidR="00683E57" w:rsidRDefault="00F17784" w:rsidP="00CD7CC1">
            <w:pPr>
              <w:pStyle w:val="Compact"/>
              <w:spacing w:after="0" w:line="480" w:lineRule="auto"/>
            </w:pPr>
            <w:r>
              <w:t>Forensics</w:t>
            </w:r>
          </w:p>
        </w:tc>
        <w:tc>
          <w:tcPr>
            <w:tcW w:w="0" w:type="auto"/>
          </w:tcPr>
          <w:p w14:paraId="0ADEC3CA" w14:textId="77777777" w:rsidR="00683E57" w:rsidRDefault="00F17784" w:rsidP="00CD7CC1">
            <w:pPr>
              <w:pStyle w:val="Compact"/>
              <w:spacing w:after="0" w:line="480" w:lineRule="auto"/>
              <w:jc w:val="center"/>
            </w:pPr>
            <w:r>
              <w:t>3.2</w:t>
            </w:r>
          </w:p>
        </w:tc>
        <w:tc>
          <w:tcPr>
            <w:tcW w:w="0" w:type="auto"/>
          </w:tcPr>
          <w:p w14:paraId="1F09CB37" w14:textId="77777777" w:rsidR="00683E57" w:rsidRDefault="00F17784" w:rsidP="00CD7CC1">
            <w:pPr>
              <w:pStyle w:val="Compact"/>
              <w:spacing w:after="0" w:line="480" w:lineRule="auto"/>
              <w:jc w:val="center"/>
            </w:pPr>
            <w:r>
              <w:t>62</w:t>
            </w:r>
          </w:p>
        </w:tc>
        <w:tc>
          <w:tcPr>
            <w:tcW w:w="0" w:type="auto"/>
          </w:tcPr>
          <w:p w14:paraId="55C5C49C" w14:textId="77777777" w:rsidR="00683E57" w:rsidRDefault="00F17784" w:rsidP="00CD7CC1">
            <w:pPr>
              <w:pStyle w:val="Compact"/>
              <w:spacing w:after="0" w:line="480" w:lineRule="auto"/>
              <w:jc w:val="center"/>
            </w:pPr>
            <w:r>
              <w:t>18.6</w:t>
            </w:r>
          </w:p>
        </w:tc>
        <w:tc>
          <w:tcPr>
            <w:tcW w:w="0" w:type="auto"/>
          </w:tcPr>
          <w:p w14:paraId="1F148764" w14:textId="77777777" w:rsidR="00683E57" w:rsidRDefault="00F17784" w:rsidP="00CD7CC1">
            <w:pPr>
              <w:pStyle w:val="Compact"/>
              <w:spacing w:after="0" w:line="480" w:lineRule="auto"/>
              <w:jc w:val="center"/>
            </w:pPr>
            <w:r>
              <w:t>70</w:t>
            </w:r>
          </w:p>
        </w:tc>
        <w:tc>
          <w:tcPr>
            <w:tcW w:w="0" w:type="auto"/>
          </w:tcPr>
          <w:p w14:paraId="719ABE53" w14:textId="77777777" w:rsidR="00683E57" w:rsidRDefault="00F17784" w:rsidP="00CD7CC1">
            <w:pPr>
              <w:pStyle w:val="Compact"/>
              <w:spacing w:after="0" w:line="480" w:lineRule="auto"/>
              <w:jc w:val="center"/>
            </w:pPr>
            <w:r>
              <w:t>1.44</w:t>
            </w:r>
          </w:p>
        </w:tc>
        <w:tc>
          <w:tcPr>
            <w:tcW w:w="0" w:type="auto"/>
          </w:tcPr>
          <w:p w14:paraId="58845C6E" w14:textId="77777777" w:rsidR="00683E57" w:rsidRDefault="00F17784" w:rsidP="00CD7CC1">
            <w:pPr>
              <w:pStyle w:val="Compact"/>
              <w:spacing w:after="0" w:line="480" w:lineRule="auto"/>
              <w:jc w:val="center"/>
            </w:pPr>
            <w:r>
              <w:t>2.32</w:t>
            </w:r>
          </w:p>
        </w:tc>
        <w:tc>
          <w:tcPr>
            <w:tcW w:w="0" w:type="auto"/>
          </w:tcPr>
          <w:p w14:paraId="68DABF8D" w14:textId="77777777" w:rsidR="00683E57" w:rsidRDefault="00F17784" w:rsidP="00CD7CC1">
            <w:pPr>
              <w:pStyle w:val="Compact"/>
              <w:spacing w:after="0" w:line="480" w:lineRule="auto"/>
              <w:jc w:val="center"/>
            </w:pPr>
            <w:r>
              <w:t>.020</w:t>
            </w:r>
          </w:p>
        </w:tc>
      </w:tr>
      <w:tr w:rsidR="00683E57" w14:paraId="0905F0BD" w14:textId="77777777">
        <w:tc>
          <w:tcPr>
            <w:tcW w:w="0" w:type="auto"/>
          </w:tcPr>
          <w:p w14:paraId="575DA71C" w14:textId="77777777" w:rsidR="00683E57" w:rsidRDefault="00F17784" w:rsidP="00CD7CC1">
            <w:pPr>
              <w:pStyle w:val="Compact"/>
              <w:spacing w:after="0" w:line="480" w:lineRule="auto"/>
            </w:pPr>
            <w:r>
              <w:t>IO</w:t>
            </w:r>
          </w:p>
        </w:tc>
        <w:tc>
          <w:tcPr>
            <w:tcW w:w="0" w:type="auto"/>
          </w:tcPr>
          <w:p w14:paraId="3EE0C685" w14:textId="77777777" w:rsidR="00683E57" w:rsidRDefault="00F17784" w:rsidP="00CD7CC1">
            <w:pPr>
              <w:pStyle w:val="Compact"/>
              <w:spacing w:after="0" w:line="480" w:lineRule="auto"/>
              <w:jc w:val="center"/>
            </w:pPr>
            <w:r>
              <w:t>5.8</w:t>
            </w:r>
          </w:p>
        </w:tc>
        <w:tc>
          <w:tcPr>
            <w:tcW w:w="0" w:type="auto"/>
          </w:tcPr>
          <w:p w14:paraId="502CC4FE" w14:textId="77777777" w:rsidR="00683E57" w:rsidRDefault="00F17784" w:rsidP="00CD7CC1">
            <w:pPr>
              <w:pStyle w:val="Compact"/>
              <w:spacing w:after="0" w:line="480" w:lineRule="auto"/>
              <w:jc w:val="center"/>
            </w:pPr>
            <w:r>
              <w:t>104</w:t>
            </w:r>
          </w:p>
        </w:tc>
        <w:tc>
          <w:tcPr>
            <w:tcW w:w="0" w:type="auto"/>
          </w:tcPr>
          <w:p w14:paraId="608E1498" w14:textId="77777777" w:rsidR="00683E57" w:rsidRDefault="00F17784" w:rsidP="00CD7CC1">
            <w:pPr>
              <w:pStyle w:val="Compact"/>
              <w:spacing w:after="0" w:line="480" w:lineRule="auto"/>
              <w:jc w:val="center"/>
            </w:pPr>
            <w:r>
              <w:t>18.5</w:t>
            </w:r>
          </w:p>
        </w:tc>
        <w:tc>
          <w:tcPr>
            <w:tcW w:w="0" w:type="auto"/>
          </w:tcPr>
          <w:p w14:paraId="45B900A2" w14:textId="77777777" w:rsidR="00683E57" w:rsidRDefault="00F17784" w:rsidP="00CD7CC1">
            <w:pPr>
              <w:pStyle w:val="Compact"/>
              <w:spacing w:after="0" w:line="480" w:lineRule="auto"/>
              <w:jc w:val="center"/>
            </w:pPr>
            <w:r>
              <w:t>124</w:t>
            </w:r>
          </w:p>
        </w:tc>
        <w:tc>
          <w:tcPr>
            <w:tcW w:w="0" w:type="auto"/>
          </w:tcPr>
          <w:p w14:paraId="655A1287" w14:textId="77777777" w:rsidR="00683E57" w:rsidRDefault="00F17784" w:rsidP="00CD7CC1">
            <w:pPr>
              <w:pStyle w:val="Compact"/>
              <w:spacing w:after="0" w:line="480" w:lineRule="auto"/>
              <w:jc w:val="center"/>
            </w:pPr>
            <w:r>
              <w:t>1.34</w:t>
            </w:r>
          </w:p>
        </w:tc>
        <w:tc>
          <w:tcPr>
            <w:tcW w:w="0" w:type="auto"/>
          </w:tcPr>
          <w:p w14:paraId="4B85B06A" w14:textId="77777777" w:rsidR="00683E57" w:rsidRDefault="00F17784" w:rsidP="00CD7CC1">
            <w:pPr>
              <w:pStyle w:val="Compact"/>
              <w:spacing w:after="0" w:line="480" w:lineRule="auto"/>
              <w:jc w:val="center"/>
            </w:pPr>
            <w:r>
              <w:t>2.02</w:t>
            </w:r>
          </w:p>
        </w:tc>
        <w:tc>
          <w:tcPr>
            <w:tcW w:w="0" w:type="auto"/>
          </w:tcPr>
          <w:p w14:paraId="62CDB782" w14:textId="77777777" w:rsidR="00683E57" w:rsidRDefault="00F17784" w:rsidP="00CD7CC1">
            <w:pPr>
              <w:pStyle w:val="Compact"/>
              <w:spacing w:after="0" w:line="480" w:lineRule="auto"/>
              <w:jc w:val="center"/>
            </w:pPr>
            <w:r>
              <w:t>.043</w:t>
            </w:r>
          </w:p>
        </w:tc>
      </w:tr>
      <w:tr w:rsidR="00683E57" w14:paraId="68F31B9F" w14:textId="77777777">
        <w:tc>
          <w:tcPr>
            <w:tcW w:w="0" w:type="auto"/>
          </w:tcPr>
          <w:p w14:paraId="43F13576" w14:textId="77777777" w:rsidR="00683E57" w:rsidRDefault="00F17784" w:rsidP="00CD7CC1">
            <w:pPr>
              <w:pStyle w:val="Compact"/>
              <w:spacing w:after="0" w:line="480" w:lineRule="auto"/>
            </w:pPr>
            <w:r>
              <w:t>Methods</w:t>
            </w:r>
          </w:p>
        </w:tc>
        <w:tc>
          <w:tcPr>
            <w:tcW w:w="0" w:type="auto"/>
          </w:tcPr>
          <w:p w14:paraId="179CCF8E" w14:textId="77777777" w:rsidR="00683E57" w:rsidRDefault="00F17784" w:rsidP="00CD7CC1">
            <w:pPr>
              <w:pStyle w:val="Compact"/>
              <w:spacing w:after="0" w:line="480" w:lineRule="auto"/>
              <w:jc w:val="center"/>
            </w:pPr>
            <w:r>
              <w:t>13.6</w:t>
            </w:r>
          </w:p>
        </w:tc>
        <w:tc>
          <w:tcPr>
            <w:tcW w:w="0" w:type="auto"/>
          </w:tcPr>
          <w:p w14:paraId="75D32C56" w14:textId="77777777" w:rsidR="00683E57" w:rsidRDefault="00F17784" w:rsidP="00CD7CC1">
            <w:pPr>
              <w:pStyle w:val="Compact"/>
              <w:spacing w:after="0" w:line="480" w:lineRule="auto"/>
              <w:jc w:val="center"/>
            </w:pPr>
            <w:r>
              <w:t>66</w:t>
            </w:r>
          </w:p>
        </w:tc>
        <w:tc>
          <w:tcPr>
            <w:tcW w:w="0" w:type="auto"/>
          </w:tcPr>
          <w:p w14:paraId="4158D076" w14:textId="77777777" w:rsidR="00683E57" w:rsidRDefault="00F17784" w:rsidP="00CD7CC1">
            <w:pPr>
              <w:pStyle w:val="Compact"/>
              <w:spacing w:after="0" w:line="480" w:lineRule="auto"/>
              <w:jc w:val="center"/>
            </w:pPr>
            <w:r>
              <w:t>11.5</w:t>
            </w:r>
          </w:p>
        </w:tc>
        <w:tc>
          <w:tcPr>
            <w:tcW w:w="0" w:type="auto"/>
          </w:tcPr>
          <w:p w14:paraId="07420408" w14:textId="77777777" w:rsidR="00683E57" w:rsidRDefault="00F17784" w:rsidP="00CD7CC1">
            <w:pPr>
              <w:pStyle w:val="Compact"/>
              <w:spacing w:after="0" w:line="480" w:lineRule="auto"/>
              <w:jc w:val="center"/>
            </w:pPr>
            <w:r>
              <w:t>61</w:t>
            </w:r>
          </w:p>
        </w:tc>
        <w:tc>
          <w:tcPr>
            <w:tcW w:w="0" w:type="auto"/>
          </w:tcPr>
          <w:p w14:paraId="0AA14D20" w14:textId="77777777" w:rsidR="00683E57" w:rsidRDefault="00F17784" w:rsidP="00CD7CC1">
            <w:pPr>
              <w:pStyle w:val="Compact"/>
              <w:spacing w:after="0" w:line="480" w:lineRule="auto"/>
              <w:jc w:val="center"/>
            </w:pPr>
            <w:r>
              <w:t>1.00</w:t>
            </w:r>
          </w:p>
        </w:tc>
        <w:tc>
          <w:tcPr>
            <w:tcW w:w="0" w:type="auto"/>
          </w:tcPr>
          <w:p w14:paraId="69186A29" w14:textId="77777777" w:rsidR="00683E57" w:rsidRDefault="00F17784" w:rsidP="00CD7CC1">
            <w:pPr>
              <w:pStyle w:val="Compact"/>
              <w:spacing w:after="0" w:line="480" w:lineRule="auto"/>
              <w:jc w:val="center"/>
            </w:pPr>
            <w:r>
              <w:t>0.01</w:t>
            </w:r>
          </w:p>
        </w:tc>
        <w:tc>
          <w:tcPr>
            <w:tcW w:w="0" w:type="auto"/>
          </w:tcPr>
          <w:p w14:paraId="68ADA72B" w14:textId="77777777" w:rsidR="00683E57" w:rsidRDefault="00F17784" w:rsidP="00CD7CC1">
            <w:pPr>
              <w:pStyle w:val="Compact"/>
              <w:spacing w:after="0" w:line="480" w:lineRule="auto"/>
              <w:jc w:val="center"/>
            </w:pPr>
            <w:r>
              <w:t>.992</w:t>
            </w:r>
          </w:p>
        </w:tc>
      </w:tr>
      <w:tr w:rsidR="00683E57" w14:paraId="7DBBF686" w14:textId="77777777">
        <w:tc>
          <w:tcPr>
            <w:tcW w:w="0" w:type="auto"/>
          </w:tcPr>
          <w:p w14:paraId="51779E65" w14:textId="77777777" w:rsidR="00683E57" w:rsidRDefault="00F17784" w:rsidP="00CD7CC1">
            <w:pPr>
              <w:pStyle w:val="Compact"/>
              <w:spacing w:after="0" w:line="480" w:lineRule="auto"/>
            </w:pPr>
            <w:r>
              <w:t>Neuro</w:t>
            </w:r>
          </w:p>
        </w:tc>
        <w:tc>
          <w:tcPr>
            <w:tcW w:w="0" w:type="auto"/>
          </w:tcPr>
          <w:p w14:paraId="7504574A" w14:textId="77777777" w:rsidR="00683E57" w:rsidRDefault="00F17784" w:rsidP="00CD7CC1">
            <w:pPr>
              <w:pStyle w:val="Compact"/>
              <w:spacing w:after="0" w:line="480" w:lineRule="auto"/>
              <w:jc w:val="center"/>
            </w:pPr>
            <w:r>
              <w:t>30.5</w:t>
            </w:r>
          </w:p>
        </w:tc>
        <w:tc>
          <w:tcPr>
            <w:tcW w:w="0" w:type="auto"/>
          </w:tcPr>
          <w:p w14:paraId="4295A07A" w14:textId="77777777" w:rsidR="00683E57" w:rsidRDefault="00F17784" w:rsidP="00CD7CC1">
            <w:pPr>
              <w:pStyle w:val="Compact"/>
              <w:spacing w:after="0" w:line="480" w:lineRule="auto"/>
              <w:jc w:val="center"/>
            </w:pPr>
            <w:r>
              <w:t>59</w:t>
            </w:r>
          </w:p>
        </w:tc>
        <w:tc>
          <w:tcPr>
            <w:tcW w:w="0" w:type="auto"/>
          </w:tcPr>
          <w:p w14:paraId="013A460F" w14:textId="77777777" w:rsidR="00683E57" w:rsidRDefault="00F17784" w:rsidP="00CD7CC1">
            <w:pPr>
              <w:pStyle w:val="Compact"/>
              <w:spacing w:after="0" w:line="480" w:lineRule="auto"/>
              <w:jc w:val="center"/>
            </w:pPr>
            <w:r>
              <w:t>17.9</w:t>
            </w:r>
          </w:p>
        </w:tc>
        <w:tc>
          <w:tcPr>
            <w:tcW w:w="0" w:type="auto"/>
          </w:tcPr>
          <w:p w14:paraId="339E69D8" w14:textId="77777777" w:rsidR="00683E57" w:rsidRDefault="00F17784" w:rsidP="00CD7CC1">
            <w:pPr>
              <w:pStyle w:val="Compact"/>
              <w:spacing w:after="0" w:line="480" w:lineRule="auto"/>
              <w:jc w:val="center"/>
            </w:pPr>
            <w:r>
              <w:t>56</w:t>
            </w:r>
          </w:p>
        </w:tc>
        <w:tc>
          <w:tcPr>
            <w:tcW w:w="0" w:type="auto"/>
          </w:tcPr>
          <w:p w14:paraId="5F4F4661" w14:textId="77777777" w:rsidR="00683E57" w:rsidRDefault="00F17784" w:rsidP="00CD7CC1">
            <w:pPr>
              <w:pStyle w:val="Compact"/>
              <w:spacing w:after="0" w:line="480" w:lineRule="auto"/>
              <w:jc w:val="center"/>
            </w:pPr>
            <w:r>
              <w:t>0.88</w:t>
            </w:r>
          </w:p>
        </w:tc>
        <w:tc>
          <w:tcPr>
            <w:tcW w:w="0" w:type="auto"/>
          </w:tcPr>
          <w:p w14:paraId="7F4BE471" w14:textId="77777777" w:rsidR="00683E57" w:rsidRDefault="00F17784" w:rsidP="00CD7CC1">
            <w:pPr>
              <w:pStyle w:val="Compact"/>
              <w:spacing w:after="0" w:line="480" w:lineRule="auto"/>
              <w:jc w:val="center"/>
            </w:pPr>
            <w:r>
              <w:t>-1.22</w:t>
            </w:r>
          </w:p>
        </w:tc>
        <w:tc>
          <w:tcPr>
            <w:tcW w:w="0" w:type="auto"/>
          </w:tcPr>
          <w:p w14:paraId="1D87CC79" w14:textId="77777777" w:rsidR="00683E57" w:rsidRDefault="00F17784" w:rsidP="00CD7CC1">
            <w:pPr>
              <w:pStyle w:val="Compact"/>
              <w:spacing w:after="0" w:line="480" w:lineRule="auto"/>
              <w:jc w:val="center"/>
            </w:pPr>
            <w:r>
              <w:t>.224</w:t>
            </w:r>
          </w:p>
        </w:tc>
      </w:tr>
      <w:tr w:rsidR="00683E57" w14:paraId="70C3CA0C" w14:textId="77777777">
        <w:tc>
          <w:tcPr>
            <w:tcW w:w="0" w:type="auto"/>
          </w:tcPr>
          <w:p w14:paraId="2EED7834" w14:textId="77777777" w:rsidR="00683E57" w:rsidRDefault="00F17784" w:rsidP="00CD7CC1">
            <w:pPr>
              <w:pStyle w:val="Compact"/>
              <w:spacing w:after="0" w:line="480" w:lineRule="auto"/>
            </w:pPr>
            <w:r>
              <w:t>Overview</w:t>
            </w:r>
          </w:p>
        </w:tc>
        <w:tc>
          <w:tcPr>
            <w:tcW w:w="0" w:type="auto"/>
          </w:tcPr>
          <w:p w14:paraId="672930BD" w14:textId="77777777" w:rsidR="00683E57" w:rsidRDefault="00F17784" w:rsidP="00CD7CC1">
            <w:pPr>
              <w:pStyle w:val="Compact"/>
              <w:spacing w:after="0" w:line="480" w:lineRule="auto"/>
              <w:jc w:val="center"/>
            </w:pPr>
            <w:r>
              <w:t>21.9</w:t>
            </w:r>
          </w:p>
        </w:tc>
        <w:tc>
          <w:tcPr>
            <w:tcW w:w="0" w:type="auto"/>
          </w:tcPr>
          <w:p w14:paraId="323FB84C" w14:textId="77777777" w:rsidR="00683E57" w:rsidRDefault="00F17784" w:rsidP="00CD7CC1">
            <w:pPr>
              <w:pStyle w:val="Compact"/>
              <w:spacing w:after="0" w:line="480" w:lineRule="auto"/>
              <w:jc w:val="center"/>
            </w:pPr>
            <w:r>
              <w:t>114</w:t>
            </w:r>
          </w:p>
        </w:tc>
        <w:tc>
          <w:tcPr>
            <w:tcW w:w="0" w:type="auto"/>
          </w:tcPr>
          <w:p w14:paraId="518E1C31" w14:textId="77777777" w:rsidR="00683E57" w:rsidRDefault="00F17784" w:rsidP="00CD7CC1">
            <w:pPr>
              <w:pStyle w:val="Compact"/>
              <w:spacing w:after="0" w:line="480" w:lineRule="auto"/>
              <w:jc w:val="center"/>
            </w:pPr>
            <w:r>
              <w:t>18.9</w:t>
            </w:r>
          </w:p>
        </w:tc>
        <w:tc>
          <w:tcPr>
            <w:tcW w:w="0" w:type="auto"/>
          </w:tcPr>
          <w:p w14:paraId="53DC62CF" w14:textId="77777777" w:rsidR="00683E57" w:rsidRDefault="00F17784" w:rsidP="00CD7CC1">
            <w:pPr>
              <w:pStyle w:val="Compact"/>
              <w:spacing w:after="0" w:line="480" w:lineRule="auto"/>
              <w:jc w:val="center"/>
            </w:pPr>
            <w:r>
              <w:t>132</w:t>
            </w:r>
          </w:p>
        </w:tc>
        <w:tc>
          <w:tcPr>
            <w:tcW w:w="0" w:type="auto"/>
          </w:tcPr>
          <w:p w14:paraId="48C78554" w14:textId="77777777" w:rsidR="00683E57" w:rsidRDefault="00F17784" w:rsidP="00CD7CC1">
            <w:pPr>
              <w:pStyle w:val="Compact"/>
              <w:spacing w:after="0" w:line="480" w:lineRule="auto"/>
              <w:jc w:val="center"/>
            </w:pPr>
            <w:r>
              <w:t>0.94</w:t>
            </w:r>
          </w:p>
        </w:tc>
        <w:tc>
          <w:tcPr>
            <w:tcW w:w="0" w:type="auto"/>
          </w:tcPr>
          <w:p w14:paraId="2952B119" w14:textId="77777777" w:rsidR="00683E57" w:rsidRDefault="00F17784" w:rsidP="00CD7CC1">
            <w:pPr>
              <w:pStyle w:val="Compact"/>
              <w:spacing w:after="0" w:line="480" w:lineRule="auto"/>
              <w:jc w:val="center"/>
            </w:pPr>
            <w:r>
              <w:t>-0.39</w:t>
            </w:r>
          </w:p>
        </w:tc>
        <w:tc>
          <w:tcPr>
            <w:tcW w:w="0" w:type="auto"/>
          </w:tcPr>
          <w:p w14:paraId="6460CDCB" w14:textId="77777777" w:rsidR="00683E57" w:rsidRDefault="00F17784" w:rsidP="00CD7CC1">
            <w:pPr>
              <w:pStyle w:val="Compact"/>
              <w:spacing w:after="0" w:line="480" w:lineRule="auto"/>
              <w:jc w:val="center"/>
            </w:pPr>
            <w:r>
              <w:t>.695</w:t>
            </w:r>
          </w:p>
        </w:tc>
      </w:tr>
      <w:tr w:rsidR="00683E57" w14:paraId="364D4549" w14:textId="77777777">
        <w:tc>
          <w:tcPr>
            <w:tcW w:w="0" w:type="auto"/>
          </w:tcPr>
          <w:p w14:paraId="222B1E61" w14:textId="77777777" w:rsidR="00683E57" w:rsidRDefault="00F17784" w:rsidP="00CD7CC1">
            <w:pPr>
              <w:pStyle w:val="Compact"/>
              <w:spacing w:after="0" w:line="480" w:lineRule="auto"/>
            </w:pPr>
            <w:r>
              <w:t>Social</w:t>
            </w:r>
          </w:p>
        </w:tc>
        <w:tc>
          <w:tcPr>
            <w:tcW w:w="0" w:type="auto"/>
          </w:tcPr>
          <w:p w14:paraId="6B3937FE" w14:textId="77777777" w:rsidR="00683E57" w:rsidRDefault="00F17784" w:rsidP="00CD7CC1">
            <w:pPr>
              <w:pStyle w:val="Compact"/>
              <w:spacing w:after="0" w:line="480" w:lineRule="auto"/>
              <w:jc w:val="center"/>
            </w:pPr>
            <w:r>
              <w:t>9.8</w:t>
            </w:r>
          </w:p>
        </w:tc>
        <w:tc>
          <w:tcPr>
            <w:tcW w:w="0" w:type="auto"/>
          </w:tcPr>
          <w:p w14:paraId="0D25F36D" w14:textId="77777777" w:rsidR="00683E57" w:rsidRDefault="00F17784" w:rsidP="00CD7CC1">
            <w:pPr>
              <w:pStyle w:val="Compact"/>
              <w:spacing w:after="0" w:line="480" w:lineRule="auto"/>
              <w:jc w:val="center"/>
            </w:pPr>
            <w:r>
              <w:t>164</w:t>
            </w:r>
          </w:p>
        </w:tc>
        <w:tc>
          <w:tcPr>
            <w:tcW w:w="0" w:type="auto"/>
          </w:tcPr>
          <w:p w14:paraId="03F862A9" w14:textId="77777777" w:rsidR="00683E57" w:rsidRDefault="00F17784" w:rsidP="00CD7CC1">
            <w:pPr>
              <w:pStyle w:val="Compact"/>
              <w:spacing w:after="0" w:line="480" w:lineRule="auto"/>
              <w:jc w:val="center"/>
            </w:pPr>
            <w:r>
              <w:t>33.8</w:t>
            </w:r>
          </w:p>
        </w:tc>
        <w:tc>
          <w:tcPr>
            <w:tcW w:w="0" w:type="auto"/>
          </w:tcPr>
          <w:p w14:paraId="6AED9A80" w14:textId="77777777" w:rsidR="00683E57" w:rsidRDefault="00F17784" w:rsidP="00CD7CC1">
            <w:pPr>
              <w:pStyle w:val="Compact"/>
              <w:spacing w:after="0" w:line="480" w:lineRule="auto"/>
              <w:jc w:val="center"/>
            </w:pPr>
            <w:r>
              <w:t>231</w:t>
            </w:r>
          </w:p>
        </w:tc>
        <w:tc>
          <w:tcPr>
            <w:tcW w:w="0" w:type="auto"/>
          </w:tcPr>
          <w:p w14:paraId="384D07AD" w14:textId="77777777" w:rsidR="00683E57" w:rsidRDefault="00F17784" w:rsidP="00CD7CC1">
            <w:pPr>
              <w:pStyle w:val="Compact"/>
              <w:spacing w:after="0" w:line="480" w:lineRule="auto"/>
              <w:jc w:val="center"/>
            </w:pPr>
            <w:r>
              <w:t>1.41</w:t>
            </w:r>
          </w:p>
        </w:tc>
        <w:tc>
          <w:tcPr>
            <w:tcW w:w="0" w:type="auto"/>
          </w:tcPr>
          <w:p w14:paraId="7E2C5654" w14:textId="77777777" w:rsidR="00683E57" w:rsidRDefault="00F17784" w:rsidP="00CD7CC1">
            <w:pPr>
              <w:pStyle w:val="Compact"/>
              <w:spacing w:after="0" w:line="480" w:lineRule="auto"/>
              <w:jc w:val="center"/>
            </w:pPr>
            <w:r>
              <w:t>2.54</w:t>
            </w:r>
          </w:p>
        </w:tc>
        <w:tc>
          <w:tcPr>
            <w:tcW w:w="0" w:type="auto"/>
          </w:tcPr>
          <w:p w14:paraId="05F8D698" w14:textId="77777777" w:rsidR="00683E57" w:rsidRDefault="00F17784" w:rsidP="00CD7CC1">
            <w:pPr>
              <w:pStyle w:val="Compact"/>
              <w:spacing w:after="0" w:line="480" w:lineRule="auto"/>
              <w:jc w:val="center"/>
            </w:pPr>
            <w:r>
              <w:t>.011</w:t>
            </w:r>
          </w:p>
        </w:tc>
      </w:tr>
      <w:tr w:rsidR="00683E57" w14:paraId="34CE0B08"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D67C09C" w14:textId="77777777" w:rsidR="00683E57" w:rsidRDefault="00F17784" w:rsidP="00CD7CC1">
            <w:pPr>
              <w:pStyle w:val="Compact"/>
              <w:spacing w:after="0" w:line="480" w:lineRule="auto"/>
            </w:pPr>
            <w:r>
              <w:t>Sports</w:t>
            </w:r>
          </w:p>
        </w:tc>
        <w:tc>
          <w:tcPr>
            <w:tcW w:w="0" w:type="auto"/>
          </w:tcPr>
          <w:p w14:paraId="2054F844" w14:textId="77777777" w:rsidR="00683E57" w:rsidRDefault="00F17784" w:rsidP="00CD7CC1">
            <w:pPr>
              <w:pStyle w:val="Compact"/>
              <w:spacing w:after="0" w:line="480" w:lineRule="auto"/>
              <w:jc w:val="center"/>
            </w:pPr>
            <w:r>
              <w:t>6.9</w:t>
            </w:r>
          </w:p>
        </w:tc>
        <w:tc>
          <w:tcPr>
            <w:tcW w:w="0" w:type="auto"/>
          </w:tcPr>
          <w:p w14:paraId="76C50923" w14:textId="77777777" w:rsidR="00683E57" w:rsidRDefault="00F17784" w:rsidP="00CD7CC1">
            <w:pPr>
              <w:pStyle w:val="Compact"/>
              <w:spacing w:after="0" w:line="480" w:lineRule="auto"/>
              <w:jc w:val="center"/>
            </w:pPr>
            <w:r>
              <w:t>58</w:t>
            </w:r>
          </w:p>
        </w:tc>
        <w:tc>
          <w:tcPr>
            <w:tcW w:w="0" w:type="auto"/>
          </w:tcPr>
          <w:p w14:paraId="7FFC8C01" w14:textId="77777777" w:rsidR="00683E57" w:rsidRDefault="00F17784" w:rsidP="00CD7CC1">
            <w:pPr>
              <w:pStyle w:val="Compact"/>
              <w:spacing w:after="0" w:line="480" w:lineRule="auto"/>
              <w:jc w:val="center"/>
            </w:pPr>
            <w:r>
              <w:t>12.3</w:t>
            </w:r>
          </w:p>
        </w:tc>
        <w:tc>
          <w:tcPr>
            <w:tcW w:w="0" w:type="auto"/>
          </w:tcPr>
          <w:p w14:paraId="16941227" w14:textId="77777777" w:rsidR="00683E57" w:rsidRDefault="00F17784" w:rsidP="00CD7CC1">
            <w:pPr>
              <w:pStyle w:val="Compact"/>
              <w:spacing w:after="0" w:line="480" w:lineRule="auto"/>
              <w:jc w:val="center"/>
            </w:pPr>
            <w:r>
              <w:t>57</w:t>
            </w:r>
          </w:p>
        </w:tc>
        <w:tc>
          <w:tcPr>
            <w:tcW w:w="0" w:type="auto"/>
          </w:tcPr>
          <w:p w14:paraId="49892B86" w14:textId="77777777" w:rsidR="00683E57" w:rsidRDefault="00F17784" w:rsidP="00CD7CC1">
            <w:pPr>
              <w:pStyle w:val="Compact"/>
              <w:spacing w:after="0" w:line="480" w:lineRule="auto"/>
              <w:jc w:val="center"/>
            </w:pPr>
            <w:r>
              <w:t>1.06</w:t>
            </w:r>
          </w:p>
        </w:tc>
        <w:tc>
          <w:tcPr>
            <w:tcW w:w="0" w:type="auto"/>
          </w:tcPr>
          <w:p w14:paraId="2E5786DA" w14:textId="77777777" w:rsidR="00683E57" w:rsidRDefault="00F17784" w:rsidP="00CD7CC1">
            <w:pPr>
              <w:pStyle w:val="Compact"/>
              <w:spacing w:after="0" w:line="480" w:lineRule="auto"/>
              <w:jc w:val="center"/>
            </w:pPr>
            <w:r>
              <w:t>0.49</w:t>
            </w:r>
          </w:p>
        </w:tc>
        <w:tc>
          <w:tcPr>
            <w:tcW w:w="0" w:type="auto"/>
          </w:tcPr>
          <w:p w14:paraId="6EDD247F" w14:textId="77777777" w:rsidR="00683E57" w:rsidRDefault="00F17784" w:rsidP="00CD7CC1">
            <w:pPr>
              <w:pStyle w:val="Compact"/>
              <w:spacing w:after="0" w:line="480" w:lineRule="auto"/>
              <w:jc w:val="center"/>
            </w:pPr>
            <w:r>
              <w:t>.625</w:t>
            </w:r>
          </w:p>
        </w:tc>
      </w:tr>
    </w:tbl>
    <w:p w14:paraId="5F8A0526" w14:textId="77777777" w:rsidR="00683E57" w:rsidRDefault="00F17784" w:rsidP="00CD7CC1">
      <w:pPr>
        <w:pStyle w:val="Compact"/>
        <w:spacing w:after="0" w:line="480" w:lineRule="auto"/>
      </w:pPr>
      <w:r>
        <w:rPr>
          <w:i/>
        </w:rPr>
        <w:t>Note.</w:t>
      </w:r>
      <w:r>
        <w:t xml:space="preserve"> </w:t>
      </w:r>
      <m:oMath>
        <m:r>
          <w:rPr>
            <w:rFonts w:ascii="Cambria Math" w:hAnsi="Cambria Math"/>
          </w:rPr>
          <m:t>N</m:t>
        </m:r>
      </m:oMath>
      <w:r>
        <w:t xml:space="preserve"> represents number of experiments for each category.</w:t>
      </w:r>
    </w:p>
    <w:p w14:paraId="4CF47B70" w14:textId="77777777" w:rsidR="00683E57" w:rsidRDefault="00F17784" w:rsidP="00CD7CC1">
      <w:pPr>
        <w:pStyle w:val="BodyText"/>
        <w:spacing w:after="0"/>
      </w:pPr>
      <w:r>
        <w:t> </w:t>
      </w:r>
    </w:p>
    <w:p w14:paraId="5A306276" w14:textId="77777777" w:rsidR="00683E57" w:rsidRDefault="00F17784" w:rsidP="00CD7CC1">
      <w:pPr>
        <w:pStyle w:val="Heading2"/>
      </w:pPr>
      <w:bookmarkStart w:id="10" w:name="analyses-type"/>
      <w:r>
        <w:lastRenderedPageBreak/>
        <w:t>2.4</w:t>
      </w:r>
      <w:r>
        <w:tab/>
        <w:t>Analyses Type</w:t>
      </w:r>
      <w:bookmarkEnd w:id="10"/>
    </w:p>
    <w:p w14:paraId="0D3E1C7E" w14:textId="77777777" w:rsidR="00683E57" w:rsidRDefault="00F17784" w:rsidP="00CD7CC1">
      <w:pPr>
        <w:pStyle w:val="CaptionedFigure"/>
        <w:spacing w:after="0"/>
      </w:pPr>
      <w:r>
        <w:rPr>
          <w:noProof/>
        </w:rPr>
        <w:drawing>
          <wp:inline distT="0" distB="0" distL="0" distR="0" wp14:anchorId="5681B535" wp14:editId="4911A438">
            <wp:extent cx="5969000" cy="4476750"/>
            <wp:effectExtent l="0" t="0" r="0" b="0"/>
            <wp:docPr id="2" name="Picture" descr="Figure 2.   Percent of outlier mentions by analysis type and year examined. Error bars represent 95% confidence interval."/>
            <wp:cNvGraphicFramePr/>
            <a:graphic xmlns:a="http://schemas.openxmlformats.org/drawingml/2006/main">
              <a:graphicData uri="http://schemas.openxmlformats.org/drawingml/2006/picture">
                <pic:pic xmlns:pic="http://schemas.openxmlformats.org/drawingml/2006/picture">
                  <pic:nvPicPr>
                    <pic:cNvPr id="0" name="Picture" descr="outliers-manuscript_files/figure-docx/analyses-graph-1.png"/>
                    <pic:cNvPicPr>
                      <a:picLocks noChangeAspect="1" noChangeArrowheads="1"/>
                    </pic:cNvPicPr>
                  </pic:nvPicPr>
                  <pic:blipFill>
                    <a:blip r:embed="rId10"/>
                    <a:stretch>
                      <a:fillRect/>
                    </a:stretch>
                  </pic:blipFill>
                  <pic:spPr bwMode="auto">
                    <a:xfrm>
                      <a:off x="0" y="0"/>
                      <a:ext cx="5969000" cy="4476750"/>
                    </a:xfrm>
                    <a:prstGeom prst="rect">
                      <a:avLst/>
                    </a:prstGeom>
                    <a:noFill/>
                    <a:ln w="9525">
                      <a:noFill/>
                      <a:headEnd/>
                      <a:tailEnd/>
                    </a:ln>
                  </pic:spPr>
                </pic:pic>
              </a:graphicData>
            </a:graphic>
          </wp:inline>
        </w:drawing>
      </w:r>
    </w:p>
    <w:p w14:paraId="22D7B629" w14:textId="77777777" w:rsidR="00683E57" w:rsidRDefault="00F17784" w:rsidP="00CD7CC1">
      <w:pPr>
        <w:pStyle w:val="ImageCaption"/>
        <w:spacing w:after="0"/>
      </w:pPr>
      <w:r>
        <w:rPr>
          <w:i/>
        </w:rPr>
        <w:t>Figure</w:t>
      </w:r>
      <w:r>
        <w:t xml:space="preserve"> </w:t>
      </w:r>
      <w:r>
        <w:rPr>
          <w:i/>
        </w:rPr>
        <w:t xml:space="preserve">2.  </w:t>
      </w:r>
      <w:r>
        <w:t xml:space="preserve"> Percent of outlier mentions by analysis type and year examined. Error bars represent 95% confidence interval.</w:t>
      </w:r>
    </w:p>
    <w:p w14:paraId="48741910" w14:textId="7D01CD87" w:rsidR="00683E57" w:rsidRDefault="00F17784" w:rsidP="00CD7CC1">
      <w:pPr>
        <w:pStyle w:val="Compact"/>
        <w:spacing w:after="0" w:line="480" w:lineRule="auto"/>
      </w:pPr>
      <w:r>
        <w:t>Table 2</w:t>
      </w:r>
    </w:p>
    <w:p w14:paraId="28F2504F" w14:textId="77777777" w:rsidR="00683E57" w:rsidRDefault="00F17784" w:rsidP="00CD7CC1">
      <w:pPr>
        <w:pStyle w:val="TableCaption"/>
        <w:spacing w:after="0"/>
      </w:pPr>
      <w:r>
        <w:t>Outlier Reporting by Analysis Type Across Years</w:t>
      </w:r>
    </w:p>
    <w:tbl>
      <w:tblPr>
        <w:tblStyle w:val="Table"/>
        <w:tblW w:w="0" w:type="pct"/>
        <w:tblLook w:val="07E0" w:firstRow="1" w:lastRow="1" w:firstColumn="1" w:lastColumn="1" w:noHBand="1" w:noVBand="1"/>
      </w:tblPr>
      <w:tblGrid>
        <w:gridCol w:w="1963"/>
        <w:gridCol w:w="716"/>
        <w:gridCol w:w="698"/>
        <w:gridCol w:w="716"/>
        <w:gridCol w:w="698"/>
        <w:gridCol w:w="636"/>
        <w:gridCol w:w="636"/>
        <w:gridCol w:w="636"/>
      </w:tblGrid>
      <w:tr w:rsidR="00683E57" w14:paraId="396A3ECD" w14:textId="77777777" w:rsidTr="00683E5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FFA3D7" w14:textId="77777777" w:rsidR="00683E57" w:rsidRDefault="00F17784" w:rsidP="00CD7CC1">
            <w:pPr>
              <w:pStyle w:val="Compact"/>
              <w:spacing w:after="0" w:line="480" w:lineRule="auto"/>
            </w:pPr>
            <w:r>
              <w:t>Analysis</w:t>
            </w:r>
          </w:p>
        </w:tc>
        <w:tc>
          <w:tcPr>
            <w:tcW w:w="0" w:type="auto"/>
            <w:tcBorders>
              <w:bottom w:val="single" w:sz="0" w:space="0" w:color="auto"/>
            </w:tcBorders>
            <w:vAlign w:val="bottom"/>
          </w:tcPr>
          <w:p w14:paraId="543D5156" w14:textId="77777777" w:rsidR="00683E57" w:rsidRDefault="00F17784" w:rsidP="00CD7CC1">
            <w:pPr>
              <w:pStyle w:val="Compact"/>
              <w:spacing w:after="0" w:line="480" w:lineRule="auto"/>
              <w:jc w:val="center"/>
            </w:pPr>
            <w:r>
              <w:t>% 12</w:t>
            </w:r>
          </w:p>
        </w:tc>
        <w:tc>
          <w:tcPr>
            <w:tcW w:w="0" w:type="auto"/>
            <w:tcBorders>
              <w:bottom w:val="single" w:sz="0" w:space="0" w:color="auto"/>
            </w:tcBorders>
            <w:vAlign w:val="bottom"/>
          </w:tcPr>
          <w:p w14:paraId="4F662F2D" w14:textId="77777777" w:rsidR="00683E57" w:rsidRDefault="00F17784" w:rsidP="00CD7CC1">
            <w:pPr>
              <w:pStyle w:val="Compact"/>
              <w:spacing w:after="0" w:line="480" w:lineRule="auto"/>
              <w:jc w:val="center"/>
            </w:pPr>
            <m:oMath>
              <m:r>
                <w:rPr>
                  <w:rFonts w:ascii="Cambria Math" w:hAnsi="Cambria Math"/>
                </w:rPr>
                <m:t>N</m:t>
              </m:r>
            </m:oMath>
            <w:r>
              <w:t xml:space="preserve"> 12</w:t>
            </w:r>
          </w:p>
        </w:tc>
        <w:tc>
          <w:tcPr>
            <w:tcW w:w="0" w:type="auto"/>
            <w:tcBorders>
              <w:bottom w:val="single" w:sz="0" w:space="0" w:color="auto"/>
            </w:tcBorders>
            <w:vAlign w:val="bottom"/>
          </w:tcPr>
          <w:p w14:paraId="1E2CB082" w14:textId="77777777" w:rsidR="00683E57" w:rsidRDefault="00F17784" w:rsidP="00CD7CC1">
            <w:pPr>
              <w:pStyle w:val="Compact"/>
              <w:spacing w:after="0" w:line="480" w:lineRule="auto"/>
              <w:jc w:val="center"/>
            </w:pPr>
            <w:r>
              <w:t>% 17</w:t>
            </w:r>
          </w:p>
        </w:tc>
        <w:tc>
          <w:tcPr>
            <w:tcW w:w="0" w:type="auto"/>
            <w:tcBorders>
              <w:bottom w:val="single" w:sz="0" w:space="0" w:color="auto"/>
            </w:tcBorders>
            <w:vAlign w:val="bottom"/>
          </w:tcPr>
          <w:p w14:paraId="337C38EE" w14:textId="77777777" w:rsidR="00683E57" w:rsidRDefault="00F17784" w:rsidP="00CD7CC1">
            <w:pPr>
              <w:pStyle w:val="Compact"/>
              <w:spacing w:after="0" w:line="480" w:lineRule="auto"/>
              <w:jc w:val="center"/>
            </w:pPr>
            <m:oMath>
              <m:r>
                <w:rPr>
                  <w:rFonts w:ascii="Cambria Math" w:hAnsi="Cambria Math"/>
                </w:rPr>
                <m:t>N</m:t>
              </m:r>
            </m:oMath>
            <w:r>
              <w:t xml:space="preserve"> 17</w:t>
            </w:r>
          </w:p>
        </w:tc>
        <w:tc>
          <w:tcPr>
            <w:tcW w:w="0" w:type="auto"/>
            <w:tcBorders>
              <w:bottom w:val="single" w:sz="0" w:space="0" w:color="auto"/>
            </w:tcBorders>
            <w:vAlign w:val="bottom"/>
          </w:tcPr>
          <w:p w14:paraId="3FA0C3CC" w14:textId="77777777" w:rsidR="00683E57" w:rsidRDefault="00F17784" w:rsidP="00CD7CC1">
            <w:pPr>
              <w:pStyle w:val="Compact"/>
              <w:spacing w:after="0" w:line="480" w:lineRule="auto"/>
              <w:jc w:val="center"/>
            </w:pPr>
            <w:r>
              <w:t>OR</w:t>
            </w:r>
          </w:p>
        </w:tc>
        <w:tc>
          <w:tcPr>
            <w:tcW w:w="0" w:type="auto"/>
            <w:tcBorders>
              <w:bottom w:val="single" w:sz="0" w:space="0" w:color="auto"/>
            </w:tcBorders>
            <w:vAlign w:val="bottom"/>
          </w:tcPr>
          <w:p w14:paraId="158451F0" w14:textId="77777777" w:rsidR="00683E57" w:rsidRDefault="00F17784" w:rsidP="00CD7CC1">
            <w:pPr>
              <w:pStyle w:val="Compact"/>
              <w:spacing w:after="0" w:line="480" w:lineRule="auto"/>
              <w:jc w:val="center"/>
            </w:pPr>
            <m:oMathPara>
              <m:oMath>
                <m:r>
                  <w:rPr>
                    <w:rFonts w:ascii="Cambria Math" w:hAnsi="Cambria Math"/>
                  </w:rPr>
                  <m:t>Z</m:t>
                </m:r>
              </m:oMath>
            </m:oMathPara>
          </w:p>
        </w:tc>
        <w:tc>
          <w:tcPr>
            <w:tcW w:w="0" w:type="auto"/>
            <w:tcBorders>
              <w:bottom w:val="single" w:sz="0" w:space="0" w:color="auto"/>
            </w:tcBorders>
            <w:vAlign w:val="bottom"/>
          </w:tcPr>
          <w:p w14:paraId="10481C16" w14:textId="77777777" w:rsidR="00683E57" w:rsidRDefault="00F17784" w:rsidP="00CD7CC1">
            <w:pPr>
              <w:pStyle w:val="Compact"/>
              <w:spacing w:after="0" w:line="480" w:lineRule="auto"/>
              <w:jc w:val="center"/>
            </w:pPr>
            <m:oMathPara>
              <m:oMath>
                <m:r>
                  <w:rPr>
                    <w:rFonts w:ascii="Cambria Math" w:hAnsi="Cambria Math"/>
                  </w:rPr>
                  <m:t>p</m:t>
                </m:r>
              </m:oMath>
            </m:oMathPara>
          </w:p>
        </w:tc>
      </w:tr>
      <w:tr w:rsidR="00683E57" w14:paraId="02B74AF8" w14:textId="77777777">
        <w:tc>
          <w:tcPr>
            <w:tcW w:w="0" w:type="auto"/>
          </w:tcPr>
          <w:p w14:paraId="3BF80AE6" w14:textId="77777777" w:rsidR="00683E57" w:rsidRDefault="00F17784" w:rsidP="00CD7CC1">
            <w:pPr>
              <w:pStyle w:val="Compact"/>
              <w:spacing w:after="0" w:line="480" w:lineRule="auto"/>
            </w:pPr>
            <w:r>
              <w:t>Basic Statistics</w:t>
            </w:r>
          </w:p>
        </w:tc>
        <w:tc>
          <w:tcPr>
            <w:tcW w:w="0" w:type="auto"/>
          </w:tcPr>
          <w:p w14:paraId="35C6FDE2" w14:textId="77777777" w:rsidR="00683E57" w:rsidRDefault="00F17784" w:rsidP="00CD7CC1">
            <w:pPr>
              <w:pStyle w:val="Compact"/>
              <w:spacing w:after="0" w:line="480" w:lineRule="auto"/>
              <w:jc w:val="center"/>
            </w:pPr>
            <w:r>
              <w:t>15.0</w:t>
            </w:r>
          </w:p>
        </w:tc>
        <w:tc>
          <w:tcPr>
            <w:tcW w:w="0" w:type="auto"/>
          </w:tcPr>
          <w:p w14:paraId="2E06A942" w14:textId="77777777" w:rsidR="00683E57" w:rsidRDefault="00F17784" w:rsidP="00CD7CC1">
            <w:pPr>
              <w:pStyle w:val="Compact"/>
              <w:spacing w:after="0" w:line="480" w:lineRule="auto"/>
              <w:jc w:val="center"/>
            </w:pPr>
            <w:r>
              <w:t>406</w:t>
            </w:r>
          </w:p>
        </w:tc>
        <w:tc>
          <w:tcPr>
            <w:tcW w:w="0" w:type="auto"/>
          </w:tcPr>
          <w:p w14:paraId="509820DE" w14:textId="77777777" w:rsidR="00683E57" w:rsidRDefault="00F17784" w:rsidP="00CD7CC1">
            <w:pPr>
              <w:pStyle w:val="Compact"/>
              <w:spacing w:after="0" w:line="480" w:lineRule="auto"/>
              <w:jc w:val="center"/>
            </w:pPr>
            <w:r>
              <w:t>31.0</w:t>
            </w:r>
          </w:p>
        </w:tc>
        <w:tc>
          <w:tcPr>
            <w:tcW w:w="0" w:type="auto"/>
          </w:tcPr>
          <w:p w14:paraId="7731C0F5" w14:textId="77777777" w:rsidR="00683E57" w:rsidRDefault="00F17784" w:rsidP="00CD7CC1">
            <w:pPr>
              <w:pStyle w:val="Compact"/>
              <w:spacing w:after="0" w:line="480" w:lineRule="auto"/>
              <w:jc w:val="center"/>
            </w:pPr>
            <w:r>
              <w:t>507</w:t>
            </w:r>
          </w:p>
        </w:tc>
        <w:tc>
          <w:tcPr>
            <w:tcW w:w="0" w:type="auto"/>
          </w:tcPr>
          <w:p w14:paraId="4AC46ED0" w14:textId="77777777" w:rsidR="00683E57" w:rsidRDefault="00F17784" w:rsidP="00CD7CC1">
            <w:pPr>
              <w:pStyle w:val="Compact"/>
              <w:spacing w:after="0" w:line="480" w:lineRule="auto"/>
              <w:jc w:val="center"/>
            </w:pPr>
            <w:r>
              <w:t>1.24</w:t>
            </w:r>
          </w:p>
        </w:tc>
        <w:tc>
          <w:tcPr>
            <w:tcW w:w="0" w:type="auto"/>
          </w:tcPr>
          <w:p w14:paraId="6CDC0C7C" w14:textId="77777777" w:rsidR="00683E57" w:rsidRDefault="00F17784" w:rsidP="00CD7CC1">
            <w:pPr>
              <w:pStyle w:val="Compact"/>
              <w:spacing w:after="0" w:line="480" w:lineRule="auto"/>
              <w:jc w:val="center"/>
            </w:pPr>
            <w:r>
              <w:t>3.04</w:t>
            </w:r>
          </w:p>
        </w:tc>
        <w:tc>
          <w:tcPr>
            <w:tcW w:w="0" w:type="auto"/>
          </w:tcPr>
          <w:p w14:paraId="50D7D29A" w14:textId="77777777" w:rsidR="00683E57" w:rsidRDefault="00F17784" w:rsidP="00CD7CC1">
            <w:pPr>
              <w:pStyle w:val="Compact"/>
              <w:spacing w:after="0" w:line="480" w:lineRule="auto"/>
              <w:jc w:val="center"/>
            </w:pPr>
            <w:r>
              <w:t>.002</w:t>
            </w:r>
          </w:p>
        </w:tc>
      </w:tr>
      <w:tr w:rsidR="00683E57" w14:paraId="3DC8B2D1" w14:textId="77777777">
        <w:tc>
          <w:tcPr>
            <w:tcW w:w="0" w:type="auto"/>
          </w:tcPr>
          <w:p w14:paraId="4CC3CA95" w14:textId="77777777" w:rsidR="00683E57" w:rsidRDefault="00F17784" w:rsidP="00CD7CC1">
            <w:pPr>
              <w:pStyle w:val="Compact"/>
              <w:spacing w:after="0" w:line="480" w:lineRule="auto"/>
            </w:pPr>
            <w:r>
              <w:t>ANOVA</w:t>
            </w:r>
          </w:p>
        </w:tc>
        <w:tc>
          <w:tcPr>
            <w:tcW w:w="0" w:type="auto"/>
          </w:tcPr>
          <w:p w14:paraId="0E3FA2B5" w14:textId="77777777" w:rsidR="00683E57" w:rsidRDefault="00F17784" w:rsidP="00CD7CC1">
            <w:pPr>
              <w:pStyle w:val="Compact"/>
              <w:spacing w:after="0" w:line="480" w:lineRule="auto"/>
              <w:jc w:val="center"/>
            </w:pPr>
            <w:r>
              <w:t>19.6</w:t>
            </w:r>
          </w:p>
        </w:tc>
        <w:tc>
          <w:tcPr>
            <w:tcW w:w="0" w:type="auto"/>
          </w:tcPr>
          <w:p w14:paraId="3A51A570" w14:textId="77777777" w:rsidR="00683E57" w:rsidRDefault="00F17784" w:rsidP="00CD7CC1">
            <w:pPr>
              <w:pStyle w:val="Compact"/>
              <w:spacing w:after="0" w:line="480" w:lineRule="auto"/>
              <w:jc w:val="center"/>
            </w:pPr>
            <w:r>
              <w:t>469</w:t>
            </w:r>
          </w:p>
        </w:tc>
        <w:tc>
          <w:tcPr>
            <w:tcW w:w="0" w:type="auto"/>
          </w:tcPr>
          <w:p w14:paraId="69448F8E" w14:textId="77777777" w:rsidR="00683E57" w:rsidRDefault="00F17784" w:rsidP="00CD7CC1">
            <w:pPr>
              <w:pStyle w:val="Compact"/>
              <w:spacing w:after="0" w:line="480" w:lineRule="auto"/>
              <w:jc w:val="center"/>
            </w:pPr>
            <w:r>
              <w:t>31.5</w:t>
            </w:r>
          </w:p>
        </w:tc>
        <w:tc>
          <w:tcPr>
            <w:tcW w:w="0" w:type="auto"/>
          </w:tcPr>
          <w:p w14:paraId="06441A93" w14:textId="77777777" w:rsidR="00683E57" w:rsidRDefault="00F17784" w:rsidP="00CD7CC1">
            <w:pPr>
              <w:pStyle w:val="Compact"/>
              <w:spacing w:after="0" w:line="480" w:lineRule="auto"/>
              <w:jc w:val="center"/>
            </w:pPr>
            <w:r>
              <w:t>466</w:t>
            </w:r>
          </w:p>
        </w:tc>
        <w:tc>
          <w:tcPr>
            <w:tcW w:w="0" w:type="auto"/>
          </w:tcPr>
          <w:p w14:paraId="7DBC20A9" w14:textId="77777777" w:rsidR="00683E57" w:rsidRDefault="00F17784" w:rsidP="00CD7CC1">
            <w:pPr>
              <w:pStyle w:val="Compact"/>
              <w:spacing w:after="0" w:line="480" w:lineRule="auto"/>
              <w:jc w:val="center"/>
            </w:pPr>
            <w:r>
              <w:t>1.15</w:t>
            </w:r>
          </w:p>
        </w:tc>
        <w:tc>
          <w:tcPr>
            <w:tcW w:w="0" w:type="auto"/>
          </w:tcPr>
          <w:p w14:paraId="353DFA7E" w14:textId="77777777" w:rsidR="00683E57" w:rsidRDefault="00F17784" w:rsidP="00CD7CC1">
            <w:pPr>
              <w:pStyle w:val="Compact"/>
              <w:spacing w:after="0" w:line="480" w:lineRule="auto"/>
              <w:jc w:val="center"/>
            </w:pPr>
            <w:r>
              <w:t>2.51</w:t>
            </w:r>
          </w:p>
        </w:tc>
        <w:tc>
          <w:tcPr>
            <w:tcW w:w="0" w:type="auto"/>
          </w:tcPr>
          <w:p w14:paraId="25BF7A6F" w14:textId="77777777" w:rsidR="00683E57" w:rsidRDefault="00F17784" w:rsidP="00CD7CC1">
            <w:pPr>
              <w:pStyle w:val="Compact"/>
              <w:spacing w:after="0" w:line="480" w:lineRule="auto"/>
              <w:jc w:val="center"/>
            </w:pPr>
            <w:r>
              <w:t>.012</w:t>
            </w:r>
          </w:p>
        </w:tc>
      </w:tr>
      <w:tr w:rsidR="00683E57" w14:paraId="41F4D89B" w14:textId="77777777">
        <w:tc>
          <w:tcPr>
            <w:tcW w:w="0" w:type="auto"/>
          </w:tcPr>
          <w:p w14:paraId="5780C222" w14:textId="77777777" w:rsidR="00683E57" w:rsidRDefault="00F17784" w:rsidP="00CD7CC1">
            <w:pPr>
              <w:pStyle w:val="Compact"/>
              <w:spacing w:after="0" w:line="480" w:lineRule="auto"/>
            </w:pPr>
            <w:r>
              <w:lastRenderedPageBreak/>
              <w:t>Regression</w:t>
            </w:r>
          </w:p>
        </w:tc>
        <w:tc>
          <w:tcPr>
            <w:tcW w:w="0" w:type="auto"/>
          </w:tcPr>
          <w:p w14:paraId="01A473C3" w14:textId="77777777" w:rsidR="00683E57" w:rsidRDefault="00F17784" w:rsidP="00CD7CC1">
            <w:pPr>
              <w:pStyle w:val="Compact"/>
              <w:spacing w:after="0" w:line="480" w:lineRule="auto"/>
              <w:jc w:val="center"/>
            </w:pPr>
            <w:r>
              <w:t>12.0</w:t>
            </w:r>
          </w:p>
        </w:tc>
        <w:tc>
          <w:tcPr>
            <w:tcW w:w="0" w:type="auto"/>
          </w:tcPr>
          <w:p w14:paraId="1CF9B86A" w14:textId="77777777" w:rsidR="00683E57" w:rsidRDefault="00F17784" w:rsidP="00CD7CC1">
            <w:pPr>
              <w:pStyle w:val="Compact"/>
              <w:spacing w:after="0" w:line="480" w:lineRule="auto"/>
              <w:jc w:val="center"/>
            </w:pPr>
            <w:r>
              <w:t>208</w:t>
            </w:r>
          </w:p>
        </w:tc>
        <w:tc>
          <w:tcPr>
            <w:tcW w:w="0" w:type="auto"/>
          </w:tcPr>
          <w:p w14:paraId="3324734E" w14:textId="77777777" w:rsidR="00683E57" w:rsidRDefault="00F17784" w:rsidP="00CD7CC1">
            <w:pPr>
              <w:pStyle w:val="Compact"/>
              <w:spacing w:after="0" w:line="480" w:lineRule="auto"/>
              <w:jc w:val="center"/>
            </w:pPr>
            <w:r>
              <w:t>22.1</w:t>
            </w:r>
          </w:p>
        </w:tc>
        <w:tc>
          <w:tcPr>
            <w:tcW w:w="0" w:type="auto"/>
          </w:tcPr>
          <w:p w14:paraId="1868508A" w14:textId="77777777" w:rsidR="00683E57" w:rsidRDefault="00F17784" w:rsidP="00CD7CC1">
            <w:pPr>
              <w:pStyle w:val="Compact"/>
              <w:spacing w:after="0" w:line="480" w:lineRule="auto"/>
              <w:jc w:val="center"/>
            </w:pPr>
            <w:r>
              <w:t>244</w:t>
            </w:r>
          </w:p>
        </w:tc>
        <w:tc>
          <w:tcPr>
            <w:tcW w:w="0" w:type="auto"/>
          </w:tcPr>
          <w:p w14:paraId="74E68E1E" w14:textId="77777777" w:rsidR="00683E57" w:rsidRDefault="00F17784" w:rsidP="00CD7CC1">
            <w:pPr>
              <w:pStyle w:val="Compact"/>
              <w:spacing w:after="0" w:line="480" w:lineRule="auto"/>
              <w:jc w:val="center"/>
            </w:pPr>
            <w:r>
              <w:t>1.13</w:t>
            </w:r>
          </w:p>
        </w:tc>
        <w:tc>
          <w:tcPr>
            <w:tcW w:w="0" w:type="auto"/>
          </w:tcPr>
          <w:p w14:paraId="4BE6FE23" w14:textId="77777777" w:rsidR="00683E57" w:rsidRDefault="00F17784" w:rsidP="00CD7CC1">
            <w:pPr>
              <w:pStyle w:val="Compact"/>
              <w:spacing w:after="0" w:line="480" w:lineRule="auto"/>
              <w:jc w:val="center"/>
            </w:pPr>
            <w:r>
              <w:t>2.13</w:t>
            </w:r>
          </w:p>
        </w:tc>
        <w:tc>
          <w:tcPr>
            <w:tcW w:w="0" w:type="auto"/>
          </w:tcPr>
          <w:p w14:paraId="77B04FDD" w14:textId="77777777" w:rsidR="00683E57" w:rsidRDefault="00F17784" w:rsidP="00CD7CC1">
            <w:pPr>
              <w:pStyle w:val="Compact"/>
              <w:spacing w:after="0" w:line="480" w:lineRule="auto"/>
              <w:jc w:val="center"/>
            </w:pPr>
            <w:r>
              <w:t>.033</w:t>
            </w:r>
          </w:p>
        </w:tc>
      </w:tr>
      <w:tr w:rsidR="00683E57" w14:paraId="31748379" w14:textId="77777777">
        <w:tc>
          <w:tcPr>
            <w:tcW w:w="0" w:type="auto"/>
          </w:tcPr>
          <w:p w14:paraId="69268DF2" w14:textId="77777777" w:rsidR="00683E57" w:rsidRDefault="00F17784" w:rsidP="00CD7CC1">
            <w:pPr>
              <w:pStyle w:val="Compact"/>
              <w:spacing w:after="0" w:line="480" w:lineRule="auto"/>
            </w:pPr>
            <w:r>
              <w:t>Chi-Square</w:t>
            </w:r>
          </w:p>
        </w:tc>
        <w:tc>
          <w:tcPr>
            <w:tcW w:w="0" w:type="auto"/>
          </w:tcPr>
          <w:p w14:paraId="07205C60" w14:textId="77777777" w:rsidR="00683E57" w:rsidRDefault="00F17784" w:rsidP="00CD7CC1">
            <w:pPr>
              <w:pStyle w:val="Compact"/>
              <w:spacing w:after="0" w:line="480" w:lineRule="auto"/>
              <w:jc w:val="center"/>
            </w:pPr>
            <w:r>
              <w:t>19.6</w:t>
            </w:r>
          </w:p>
        </w:tc>
        <w:tc>
          <w:tcPr>
            <w:tcW w:w="0" w:type="auto"/>
          </w:tcPr>
          <w:p w14:paraId="7F849215" w14:textId="77777777" w:rsidR="00683E57" w:rsidRDefault="00F17784" w:rsidP="00CD7CC1">
            <w:pPr>
              <w:pStyle w:val="Compact"/>
              <w:spacing w:after="0" w:line="480" w:lineRule="auto"/>
              <w:jc w:val="center"/>
            </w:pPr>
            <w:r>
              <w:t>112</w:t>
            </w:r>
          </w:p>
        </w:tc>
        <w:tc>
          <w:tcPr>
            <w:tcW w:w="0" w:type="auto"/>
          </w:tcPr>
          <w:p w14:paraId="1BE52D36" w14:textId="77777777" w:rsidR="00683E57" w:rsidRDefault="00F17784" w:rsidP="00CD7CC1">
            <w:pPr>
              <w:pStyle w:val="Compact"/>
              <w:spacing w:after="0" w:line="480" w:lineRule="auto"/>
              <w:jc w:val="center"/>
            </w:pPr>
            <w:r>
              <w:t>23.8</w:t>
            </w:r>
          </w:p>
        </w:tc>
        <w:tc>
          <w:tcPr>
            <w:tcW w:w="0" w:type="auto"/>
          </w:tcPr>
          <w:p w14:paraId="42043494" w14:textId="77777777" w:rsidR="00683E57" w:rsidRDefault="00F17784" w:rsidP="00CD7CC1">
            <w:pPr>
              <w:pStyle w:val="Compact"/>
              <w:spacing w:after="0" w:line="480" w:lineRule="auto"/>
              <w:jc w:val="center"/>
            </w:pPr>
            <w:r>
              <w:t>172</w:t>
            </w:r>
          </w:p>
        </w:tc>
        <w:tc>
          <w:tcPr>
            <w:tcW w:w="0" w:type="auto"/>
          </w:tcPr>
          <w:p w14:paraId="3661E1F1" w14:textId="77777777" w:rsidR="00683E57" w:rsidRDefault="00F17784" w:rsidP="00CD7CC1">
            <w:pPr>
              <w:pStyle w:val="Compact"/>
              <w:spacing w:after="0" w:line="480" w:lineRule="auto"/>
              <w:jc w:val="center"/>
            </w:pPr>
            <w:r>
              <w:t>1.10</w:t>
            </w:r>
          </w:p>
        </w:tc>
        <w:tc>
          <w:tcPr>
            <w:tcW w:w="0" w:type="auto"/>
          </w:tcPr>
          <w:p w14:paraId="64259BA9" w14:textId="77777777" w:rsidR="00683E57" w:rsidRDefault="00F17784" w:rsidP="00CD7CC1">
            <w:pPr>
              <w:pStyle w:val="Compact"/>
              <w:spacing w:after="0" w:line="480" w:lineRule="auto"/>
              <w:jc w:val="center"/>
            </w:pPr>
            <w:r>
              <w:t>0.80</w:t>
            </w:r>
          </w:p>
        </w:tc>
        <w:tc>
          <w:tcPr>
            <w:tcW w:w="0" w:type="auto"/>
          </w:tcPr>
          <w:p w14:paraId="11D19CAE" w14:textId="77777777" w:rsidR="00683E57" w:rsidRDefault="00F17784" w:rsidP="00CD7CC1">
            <w:pPr>
              <w:pStyle w:val="Compact"/>
              <w:spacing w:after="0" w:line="480" w:lineRule="auto"/>
              <w:jc w:val="center"/>
            </w:pPr>
            <w:r>
              <w:t>.424</w:t>
            </w:r>
          </w:p>
        </w:tc>
      </w:tr>
      <w:tr w:rsidR="00683E57" w14:paraId="0096967A" w14:textId="77777777">
        <w:tc>
          <w:tcPr>
            <w:tcW w:w="0" w:type="auto"/>
          </w:tcPr>
          <w:p w14:paraId="5DE47EA4" w14:textId="77777777" w:rsidR="00683E57" w:rsidRDefault="00F17784" w:rsidP="00CD7CC1">
            <w:pPr>
              <w:pStyle w:val="Compact"/>
              <w:spacing w:after="0" w:line="480" w:lineRule="auto"/>
            </w:pPr>
            <w:r>
              <w:t>Non-Parametric</w:t>
            </w:r>
          </w:p>
        </w:tc>
        <w:tc>
          <w:tcPr>
            <w:tcW w:w="0" w:type="auto"/>
          </w:tcPr>
          <w:p w14:paraId="21DB3092" w14:textId="77777777" w:rsidR="00683E57" w:rsidRDefault="00F17784" w:rsidP="00CD7CC1">
            <w:pPr>
              <w:pStyle w:val="Compact"/>
              <w:spacing w:after="0" w:line="480" w:lineRule="auto"/>
              <w:jc w:val="center"/>
            </w:pPr>
            <w:r>
              <w:t>6.2</w:t>
            </w:r>
          </w:p>
        </w:tc>
        <w:tc>
          <w:tcPr>
            <w:tcW w:w="0" w:type="auto"/>
          </w:tcPr>
          <w:p w14:paraId="70E32674" w14:textId="77777777" w:rsidR="00683E57" w:rsidRDefault="00F17784" w:rsidP="00CD7CC1">
            <w:pPr>
              <w:pStyle w:val="Compact"/>
              <w:spacing w:after="0" w:line="480" w:lineRule="auto"/>
              <w:jc w:val="center"/>
            </w:pPr>
            <w:r>
              <w:t>64</w:t>
            </w:r>
          </w:p>
        </w:tc>
        <w:tc>
          <w:tcPr>
            <w:tcW w:w="0" w:type="auto"/>
          </w:tcPr>
          <w:p w14:paraId="5547330A" w14:textId="77777777" w:rsidR="00683E57" w:rsidRDefault="00F17784" w:rsidP="00CD7CC1">
            <w:pPr>
              <w:pStyle w:val="Compact"/>
              <w:spacing w:after="0" w:line="480" w:lineRule="auto"/>
              <w:jc w:val="center"/>
            </w:pPr>
            <w:r>
              <w:t>25.5</w:t>
            </w:r>
          </w:p>
        </w:tc>
        <w:tc>
          <w:tcPr>
            <w:tcW w:w="0" w:type="auto"/>
          </w:tcPr>
          <w:p w14:paraId="277DED10" w14:textId="77777777" w:rsidR="00683E57" w:rsidRDefault="00F17784" w:rsidP="00CD7CC1">
            <w:pPr>
              <w:pStyle w:val="Compact"/>
              <w:spacing w:after="0" w:line="480" w:lineRule="auto"/>
              <w:jc w:val="center"/>
            </w:pPr>
            <w:r>
              <w:t>47</w:t>
            </w:r>
          </w:p>
        </w:tc>
        <w:tc>
          <w:tcPr>
            <w:tcW w:w="0" w:type="auto"/>
          </w:tcPr>
          <w:p w14:paraId="24FC3DE7" w14:textId="77777777" w:rsidR="00683E57" w:rsidRDefault="00F17784" w:rsidP="00CD7CC1">
            <w:pPr>
              <w:pStyle w:val="Compact"/>
              <w:spacing w:after="0" w:line="480" w:lineRule="auto"/>
              <w:jc w:val="center"/>
            </w:pPr>
            <w:r>
              <w:t>1.33</w:t>
            </w:r>
          </w:p>
        </w:tc>
        <w:tc>
          <w:tcPr>
            <w:tcW w:w="0" w:type="auto"/>
          </w:tcPr>
          <w:p w14:paraId="7BDF9E81" w14:textId="77777777" w:rsidR="00683E57" w:rsidRDefault="00F17784" w:rsidP="00CD7CC1">
            <w:pPr>
              <w:pStyle w:val="Compact"/>
              <w:spacing w:after="0" w:line="480" w:lineRule="auto"/>
              <w:jc w:val="center"/>
            </w:pPr>
            <w:r>
              <w:t>2.03</w:t>
            </w:r>
          </w:p>
        </w:tc>
        <w:tc>
          <w:tcPr>
            <w:tcW w:w="0" w:type="auto"/>
          </w:tcPr>
          <w:p w14:paraId="4CD0C807" w14:textId="77777777" w:rsidR="00683E57" w:rsidRDefault="00F17784" w:rsidP="00CD7CC1">
            <w:pPr>
              <w:pStyle w:val="Compact"/>
              <w:spacing w:after="0" w:line="480" w:lineRule="auto"/>
              <w:jc w:val="center"/>
            </w:pPr>
            <w:r>
              <w:t>.043</w:t>
            </w:r>
          </w:p>
        </w:tc>
      </w:tr>
      <w:tr w:rsidR="00683E57" w14:paraId="06DDF145" w14:textId="77777777">
        <w:tc>
          <w:tcPr>
            <w:tcW w:w="0" w:type="auto"/>
          </w:tcPr>
          <w:p w14:paraId="2C17894F" w14:textId="77777777" w:rsidR="00683E57" w:rsidRDefault="00F17784" w:rsidP="00CD7CC1">
            <w:pPr>
              <w:pStyle w:val="Compact"/>
              <w:spacing w:after="0" w:line="480" w:lineRule="auto"/>
            </w:pPr>
            <w:r>
              <w:t>Modeling</w:t>
            </w:r>
          </w:p>
        </w:tc>
        <w:tc>
          <w:tcPr>
            <w:tcW w:w="0" w:type="auto"/>
          </w:tcPr>
          <w:p w14:paraId="1DFB5E04" w14:textId="77777777" w:rsidR="00683E57" w:rsidRDefault="00F17784" w:rsidP="00CD7CC1">
            <w:pPr>
              <w:pStyle w:val="Compact"/>
              <w:spacing w:after="0" w:line="480" w:lineRule="auto"/>
              <w:jc w:val="center"/>
            </w:pPr>
            <w:r>
              <w:t>12.0</w:t>
            </w:r>
          </w:p>
        </w:tc>
        <w:tc>
          <w:tcPr>
            <w:tcW w:w="0" w:type="auto"/>
          </w:tcPr>
          <w:p w14:paraId="4F5274EA" w14:textId="77777777" w:rsidR="00683E57" w:rsidRDefault="00F17784" w:rsidP="00CD7CC1">
            <w:pPr>
              <w:pStyle w:val="Compact"/>
              <w:spacing w:after="0" w:line="480" w:lineRule="auto"/>
              <w:jc w:val="center"/>
            </w:pPr>
            <w:r>
              <w:t>217</w:t>
            </w:r>
          </w:p>
        </w:tc>
        <w:tc>
          <w:tcPr>
            <w:tcW w:w="0" w:type="auto"/>
          </w:tcPr>
          <w:p w14:paraId="295C12B5" w14:textId="77777777" w:rsidR="00683E57" w:rsidRDefault="00F17784" w:rsidP="00CD7CC1">
            <w:pPr>
              <w:pStyle w:val="Compact"/>
              <w:spacing w:after="0" w:line="480" w:lineRule="auto"/>
              <w:jc w:val="center"/>
            </w:pPr>
            <w:r>
              <w:t>21.8</w:t>
            </w:r>
          </w:p>
        </w:tc>
        <w:tc>
          <w:tcPr>
            <w:tcW w:w="0" w:type="auto"/>
          </w:tcPr>
          <w:p w14:paraId="4C4675E1" w14:textId="77777777" w:rsidR="00683E57" w:rsidRDefault="00F17784" w:rsidP="00CD7CC1">
            <w:pPr>
              <w:pStyle w:val="Compact"/>
              <w:spacing w:after="0" w:line="480" w:lineRule="auto"/>
              <w:jc w:val="center"/>
            </w:pPr>
            <w:r>
              <w:t>408</w:t>
            </w:r>
          </w:p>
        </w:tc>
        <w:tc>
          <w:tcPr>
            <w:tcW w:w="0" w:type="auto"/>
          </w:tcPr>
          <w:p w14:paraId="4625278F" w14:textId="77777777" w:rsidR="00683E57" w:rsidRDefault="00F17784" w:rsidP="00CD7CC1">
            <w:pPr>
              <w:pStyle w:val="Compact"/>
              <w:spacing w:after="0" w:line="480" w:lineRule="auto"/>
              <w:jc w:val="center"/>
            </w:pPr>
            <w:r>
              <w:t>1.17</w:t>
            </w:r>
          </w:p>
        </w:tc>
        <w:tc>
          <w:tcPr>
            <w:tcW w:w="0" w:type="auto"/>
          </w:tcPr>
          <w:p w14:paraId="1A6B653B" w14:textId="77777777" w:rsidR="00683E57" w:rsidRDefault="00F17784" w:rsidP="00CD7CC1">
            <w:pPr>
              <w:pStyle w:val="Compact"/>
              <w:spacing w:after="0" w:line="480" w:lineRule="auto"/>
              <w:jc w:val="center"/>
            </w:pPr>
            <w:r>
              <w:t>2.12</w:t>
            </w:r>
          </w:p>
        </w:tc>
        <w:tc>
          <w:tcPr>
            <w:tcW w:w="0" w:type="auto"/>
          </w:tcPr>
          <w:p w14:paraId="25173877" w14:textId="77777777" w:rsidR="00683E57" w:rsidRDefault="00F17784" w:rsidP="00CD7CC1">
            <w:pPr>
              <w:pStyle w:val="Compact"/>
              <w:spacing w:after="0" w:line="480" w:lineRule="auto"/>
              <w:jc w:val="center"/>
            </w:pPr>
            <w:r>
              <w:t>.034</w:t>
            </w:r>
          </w:p>
        </w:tc>
      </w:tr>
      <w:tr w:rsidR="00683E57" w14:paraId="7F8D4D0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B7D94D9" w14:textId="77777777" w:rsidR="00683E57" w:rsidRDefault="00F17784" w:rsidP="00CD7CC1">
            <w:pPr>
              <w:pStyle w:val="Compact"/>
              <w:spacing w:after="0" w:line="480" w:lineRule="auto"/>
            </w:pPr>
            <w:r>
              <w:t>Bayesian or Other</w:t>
            </w:r>
          </w:p>
        </w:tc>
        <w:tc>
          <w:tcPr>
            <w:tcW w:w="0" w:type="auto"/>
          </w:tcPr>
          <w:p w14:paraId="6BC405D2" w14:textId="77777777" w:rsidR="00683E57" w:rsidRDefault="00F17784" w:rsidP="00CD7CC1">
            <w:pPr>
              <w:pStyle w:val="Compact"/>
              <w:spacing w:after="0" w:line="480" w:lineRule="auto"/>
              <w:jc w:val="center"/>
            </w:pPr>
            <w:r>
              <w:t>13.2</w:t>
            </w:r>
          </w:p>
        </w:tc>
        <w:tc>
          <w:tcPr>
            <w:tcW w:w="0" w:type="auto"/>
          </w:tcPr>
          <w:p w14:paraId="5A2043F2" w14:textId="77777777" w:rsidR="00683E57" w:rsidRDefault="00F17784" w:rsidP="00CD7CC1">
            <w:pPr>
              <w:pStyle w:val="Compact"/>
              <w:spacing w:after="0" w:line="480" w:lineRule="auto"/>
              <w:jc w:val="center"/>
            </w:pPr>
            <w:r>
              <w:t>53</w:t>
            </w:r>
          </w:p>
        </w:tc>
        <w:tc>
          <w:tcPr>
            <w:tcW w:w="0" w:type="auto"/>
          </w:tcPr>
          <w:p w14:paraId="22DB8218" w14:textId="77777777" w:rsidR="00683E57" w:rsidRDefault="00F17784" w:rsidP="00CD7CC1">
            <w:pPr>
              <w:pStyle w:val="Compact"/>
              <w:spacing w:after="0" w:line="480" w:lineRule="auto"/>
              <w:jc w:val="center"/>
            </w:pPr>
            <w:r>
              <w:t>25.9</w:t>
            </w:r>
          </w:p>
        </w:tc>
        <w:tc>
          <w:tcPr>
            <w:tcW w:w="0" w:type="auto"/>
          </w:tcPr>
          <w:p w14:paraId="5A1A8AC4" w14:textId="77777777" w:rsidR="00683E57" w:rsidRDefault="00F17784" w:rsidP="00CD7CC1">
            <w:pPr>
              <w:pStyle w:val="Compact"/>
              <w:spacing w:after="0" w:line="480" w:lineRule="auto"/>
              <w:jc w:val="center"/>
            </w:pPr>
            <w:r>
              <w:t>143</w:t>
            </w:r>
          </w:p>
        </w:tc>
        <w:tc>
          <w:tcPr>
            <w:tcW w:w="0" w:type="auto"/>
          </w:tcPr>
          <w:p w14:paraId="474A55F2" w14:textId="77777777" w:rsidR="00683E57" w:rsidRDefault="00F17784" w:rsidP="00CD7CC1">
            <w:pPr>
              <w:pStyle w:val="Compact"/>
              <w:spacing w:after="0" w:line="480" w:lineRule="auto"/>
              <w:jc w:val="center"/>
            </w:pPr>
            <w:r>
              <w:t>1.25</w:t>
            </w:r>
          </w:p>
        </w:tc>
        <w:tc>
          <w:tcPr>
            <w:tcW w:w="0" w:type="auto"/>
          </w:tcPr>
          <w:p w14:paraId="09D00F77" w14:textId="77777777" w:rsidR="00683E57" w:rsidRDefault="00F17784" w:rsidP="00CD7CC1">
            <w:pPr>
              <w:pStyle w:val="Compact"/>
              <w:spacing w:after="0" w:line="480" w:lineRule="auto"/>
              <w:jc w:val="center"/>
            </w:pPr>
            <w:r>
              <w:t>0.86</w:t>
            </w:r>
          </w:p>
        </w:tc>
        <w:tc>
          <w:tcPr>
            <w:tcW w:w="0" w:type="auto"/>
          </w:tcPr>
          <w:p w14:paraId="0DEE06F3" w14:textId="77777777" w:rsidR="00683E57" w:rsidRDefault="00F17784" w:rsidP="00CD7CC1">
            <w:pPr>
              <w:pStyle w:val="Compact"/>
              <w:spacing w:after="0" w:line="480" w:lineRule="auto"/>
              <w:jc w:val="center"/>
            </w:pPr>
            <w:r>
              <w:t>.389</w:t>
            </w:r>
          </w:p>
        </w:tc>
      </w:tr>
    </w:tbl>
    <w:p w14:paraId="6AD0DA96" w14:textId="77777777" w:rsidR="00683E57" w:rsidRDefault="00F17784" w:rsidP="00CD7CC1">
      <w:pPr>
        <w:pStyle w:val="Compact"/>
        <w:spacing w:after="0" w:line="480" w:lineRule="auto"/>
      </w:pPr>
      <w:r>
        <w:rPr>
          <w:i/>
        </w:rPr>
        <w:t>Note.</w:t>
      </w:r>
      <w:r>
        <w:t xml:space="preserve"> </w:t>
      </w:r>
      <m:oMath>
        <m:r>
          <w:rPr>
            <w:rFonts w:ascii="Cambria Math" w:hAnsi="Cambria Math"/>
          </w:rPr>
          <m:t>N</m:t>
        </m:r>
      </m:oMath>
      <w:r>
        <w:t xml:space="preserve"> </w:t>
      </w:r>
      <w:r>
        <w:t>represents number of experiments for each category.</w:t>
      </w:r>
    </w:p>
    <w:p w14:paraId="695E8C9F" w14:textId="77777777" w:rsidR="00683E57" w:rsidRDefault="00F17784" w:rsidP="00CD7CC1">
      <w:pPr>
        <w:pStyle w:val="BodyText"/>
        <w:spacing w:after="0"/>
      </w:pPr>
      <w:r>
        <w:t> </w:t>
      </w:r>
    </w:p>
    <w:p w14:paraId="6B45B1C3" w14:textId="77777777" w:rsidR="00683E57" w:rsidRDefault="00F17784" w:rsidP="00CD7CC1">
      <w:pPr>
        <w:pStyle w:val="BodyText"/>
        <w:spacing w:after="0"/>
      </w:pPr>
      <w:r>
        <w:t xml:space="preserve">Table 2 indicates the types of analyses across years that mention outliers, and Figure 2 visually depicts these findings. An increase in reporting was found for non-parametric statistics (33.3%), basic </w:t>
      </w:r>
      <w:r>
        <w:t>statistics (23.6%), modeling (17.1%), ANOVA (15.1%), and regression (13.3%). Bayesian and other statistics additionally showed a comparable increase, 25.1%, which was not deemed a significant change over years.</w:t>
      </w:r>
    </w:p>
    <w:p w14:paraId="6BC1654C" w14:textId="6D41E57C" w:rsidR="00683E57" w:rsidRDefault="00F17784" w:rsidP="00CD7CC1">
      <w:pPr>
        <w:pStyle w:val="Heading2"/>
      </w:pPr>
      <w:bookmarkStart w:id="11" w:name="type-of-outlier"/>
      <w:r>
        <w:t>Type of Outlier</w:t>
      </w:r>
      <w:bookmarkEnd w:id="11"/>
    </w:p>
    <w:p w14:paraId="7557FE55" w14:textId="77777777" w:rsidR="00683E57" w:rsidRDefault="00F17784" w:rsidP="00CD7CC1">
      <w:pPr>
        <w:pStyle w:val="FirstParagraph"/>
        <w:spacing w:after="0"/>
      </w:pPr>
      <w:r>
        <w:t>In our review, the majori</w:t>
      </w:r>
      <w:r>
        <w:t>ty of outliers mentioned referred to people (65.9%) as opposed to data points (25.4%), or both people and data points (5.7%), and a final small set (3.1%) of experiments mentioned outliers but did not specify a type, just that they searched for outliers an</w:t>
      </w:r>
      <w:r>
        <w:t>d found none. The trends across years were examined for mentioning outliers (yes/no) for both people and data points, dropping the both and none found categories due to small size. Therefore, the dependent variable was outlier mention where the “yes” categ</w:t>
      </w:r>
      <w:r>
        <w:t xml:space="preserve">ory indicated either the people or data point categories separately. The mentions of excluding entire participants increased across years, 15.2%, </w:t>
      </w:r>
      <w:r>
        <w:rPr>
          <w:i/>
        </w:rPr>
        <w:t>Z</w:t>
      </w:r>
      <w:r>
        <w:t xml:space="preserve"> = 3.00, </w:t>
      </w:r>
      <w:r>
        <w:rPr>
          <w:i/>
        </w:rPr>
        <w:t>p</w:t>
      </w:r>
      <w:r>
        <w:t xml:space="preserve"> = .003, while the mention of data trial exclusion was consistent across </w:t>
      </w:r>
      <w:r>
        <w:lastRenderedPageBreak/>
        <w:t xml:space="preserve">years, 6.6%, </w:t>
      </w:r>
      <w:r>
        <w:rPr>
          <w:i/>
        </w:rPr>
        <w:t>Z</w:t>
      </w:r>
      <w:r>
        <w:t xml:space="preserve"> = 0.68, </w:t>
      </w:r>
      <w:r>
        <w:rPr>
          <w:i/>
        </w:rPr>
        <w:t>p</w:t>
      </w:r>
      <w:r>
        <w:t xml:space="preserve"> =</w:t>
      </w:r>
      <w:r>
        <w:t xml:space="preserve"> .495. Overall, when handling these data, few experiments chose to winsorize the data (0.7%), most analyzed the data without the observations (88.6%), some analyzed the data with the observations (7.4%), and some conducted analyses both with and without th</w:t>
      </w:r>
      <w:r>
        <w:t>e observations (3.4%).</w:t>
      </w:r>
    </w:p>
    <w:p w14:paraId="4BC4E81B" w14:textId="4EC8D8D4" w:rsidR="00683E57" w:rsidRDefault="00F17784" w:rsidP="00CD7CC1">
      <w:pPr>
        <w:pStyle w:val="Heading2"/>
      </w:pPr>
      <w:bookmarkStart w:id="12" w:name="reason-for-exclusion"/>
      <w:r>
        <w:t>Reason for Exclusion</w:t>
      </w:r>
      <w:bookmarkEnd w:id="12"/>
    </w:p>
    <w:p w14:paraId="5C093CEE" w14:textId="77777777" w:rsidR="00683E57" w:rsidRDefault="00F17784" w:rsidP="00CD7CC1">
      <w:pPr>
        <w:pStyle w:val="FirstParagraph"/>
        <w:spacing w:after="0"/>
      </w:pPr>
      <w:r>
        <w:t>We found that researchers often used multiple criterion checks for outlier coding, as one study might exclude participants for exceeding a standard deviation cut-off, while also excluding participants for low</w:t>
      </w:r>
      <w:r>
        <w:t xml:space="preserve"> effort data. Therefore, reason coding was not unique for each experiment, and each experiment could have one to three reasons for data exclusion. Statistical reasoning (e.g. extreme mahalanobis distance) was the largest reported exclusion criteria of pape</w:t>
      </w:r>
      <w:r>
        <w:t>rs that mentioned outliers at 58.0%. Next, participant reasons(e.g. failed attention checks) followed with 50.3% of outlier mentions, and unusable data (e.g. participants who believed the experiment was staged) was coded in 6.3% of experiments that mention</w:t>
      </w:r>
      <w:r>
        <w:t>ed outliers. To examine the trend over time, we used a similar MLM analysis as described in the data analytic plan, with journal and article as a random intercept, year as the independent variable, and the mention of type of outlier (yes/no for participant</w:t>
      </w:r>
      <w:r>
        <w:t xml:space="preserve">, statistical, or unusable data) as the dependent variables separately. Statistical reasons tended to decrease about 8.5% each year, </w:t>
      </w:r>
      <w:r>
        <w:rPr>
          <w:i/>
        </w:rPr>
        <w:t>Z</w:t>
      </w:r>
      <w:r>
        <w:t xml:space="preserve"> = -0.65, </w:t>
      </w:r>
      <w:r>
        <w:rPr>
          <w:i/>
        </w:rPr>
        <w:t>p</w:t>
      </w:r>
      <w:r>
        <w:t xml:space="preserve"> = .518. Participant reasons increased by 17.2% each year, </w:t>
      </w:r>
      <w:r>
        <w:rPr>
          <w:i/>
        </w:rPr>
        <w:t>Z</w:t>
      </w:r>
      <w:r>
        <w:t xml:space="preserve"> = 1.45, </w:t>
      </w:r>
      <w:r>
        <w:rPr>
          <w:i/>
        </w:rPr>
        <w:t>p</w:t>
      </w:r>
      <w:r>
        <w:t xml:space="preserve"> </w:t>
      </w:r>
      <w:r>
        <w:t xml:space="preserve">= .147. Unusable data increased by about 6.7% each year, </w:t>
      </w:r>
      <w:r>
        <w:rPr>
          <w:i/>
        </w:rPr>
        <w:t>Z</w:t>
      </w:r>
      <w:r>
        <w:t xml:space="preserve"> = 0.69, </w:t>
      </w:r>
      <w:r>
        <w:rPr>
          <w:i/>
        </w:rPr>
        <w:t>p</w:t>
      </w:r>
      <w:r>
        <w:t xml:space="preserve"> = .491. None of these trends would be considered “significant”; however, their pattern is an interesting finding to see that traditional deviant data points for statistical reasons was de</w:t>
      </w:r>
      <w:r>
        <w:t>creasing, while there was increased reporting for other types of deviant data.</w:t>
      </w:r>
    </w:p>
    <w:p w14:paraId="69737098" w14:textId="6331D60D" w:rsidR="00683E57" w:rsidRDefault="00F17784" w:rsidP="00CD7CC1">
      <w:pPr>
        <w:pStyle w:val="Heading1"/>
      </w:pPr>
      <w:bookmarkStart w:id="13" w:name="discussion"/>
      <w:r>
        <w:lastRenderedPageBreak/>
        <w:t>Discussion</w:t>
      </w:r>
      <w:bookmarkEnd w:id="13"/>
    </w:p>
    <w:p w14:paraId="0CB353E9" w14:textId="77777777" w:rsidR="00683E57" w:rsidRDefault="00F17784" w:rsidP="00CD7CC1">
      <w:pPr>
        <w:pStyle w:val="FirstParagraph"/>
        <w:spacing w:after="0"/>
      </w:pPr>
      <w:r>
        <w:t>We hypothesized that report rates for outliers would increase overall in experiments from 2012 to 2017, and we largely found support for this hypothesis. We additio</w:t>
      </w:r>
      <w:r>
        <w:t>nally hypothesized larger increases in report rates of outliers for the domains of social and cognitive psychology because of the overwhelming response to the Open Science Collaboration (2015) publication. This hypothesis was supported, with increasing tre</w:t>
      </w:r>
      <w:r>
        <w:t>nds for both areas, along with most other sub-domains in our study. Social and cognitive psychology publications included the most experiments in their papers, and reporting outliers for each experiment and analysis will be crucial for future studies or me</w:t>
      </w:r>
      <w:r>
        <w:t>ta-analyses. While improvements in reporting can be seen in almost all fields, it is worthwhile to note that in 2017 the average proportion of experiments reporting outliers was still only 25.0%, with some fields as low as approximately 12%. While the effo</w:t>
      </w:r>
      <w:r>
        <w:t>rt of many fields should not be overlooked, we suggest that there is still room for improvement overall.</w:t>
      </w:r>
    </w:p>
    <w:p w14:paraId="56A6B935" w14:textId="77777777" w:rsidR="00683E57" w:rsidRDefault="00F17784" w:rsidP="00CD7CC1">
      <w:pPr>
        <w:pStyle w:val="BodyText"/>
        <w:spacing w:after="0"/>
      </w:pPr>
      <w:r>
        <w:t>All analytic techniques presented in these experiments showed increased reporting over time, ranging from 17.1% for modeling to 33.3% for nonparametric</w:t>
      </w:r>
      <w:r>
        <w:t xml:space="preserve"> statistics. Of all outliers reported, we found that the majority discussed were people (65.9%), and that while reporting of exclusion of people as outliers increased from 2012 to 2017, reporting of exclusion of outlying data points remained consistent acr</w:t>
      </w:r>
      <w:r>
        <w:t>oss time. Most experiments cited outliers as those found through statistical means (e.g., Mahalanobis distance, leverage, or a standard deviation rule) and/or participant reasons (e.g., failed attention checks or failure to follow instructions), but a smal</w:t>
      </w:r>
      <w:r>
        <w:t xml:space="preserve">l subset were cited as unusable data (e.g., individuals who believed the procedure was staged or participants whose position in a room was never recorded by the experimenter). The trends across years indicate that potentially, the detection of outliers as </w:t>
      </w:r>
      <w:r>
        <w:t xml:space="preserve">only a statistical technique is </w:t>
      </w:r>
      <w:r>
        <w:lastRenderedPageBreak/>
        <w:t>decreasing, while transparently presenting information about the exclusion of other errant data is increasing. These findings suggest that not only is discussion of outliers important for the study at hand, but also for futu</w:t>
      </w:r>
      <w:r>
        <w:t>re studies. Given insight into ways data can become unusable, a researcher is better equipped to prepare for and deter unusable data from arising in future studies through knowledge of past failures that can improve their research design.</w:t>
      </w:r>
    </w:p>
    <w:p w14:paraId="551BFC7F" w14:textId="77777777" w:rsidR="00683E57" w:rsidRDefault="00F17784" w:rsidP="00CD7CC1">
      <w:pPr>
        <w:pStyle w:val="BodyText"/>
        <w:spacing w:after="0"/>
      </w:pPr>
      <w:r>
        <w:t>Given the frequen</w:t>
      </w:r>
      <w:r>
        <w:t xml:space="preserve">tist nature of most psychological work, and the impact those outliers can have on these statistics (Cook &amp; Weisberg, 1980; Stevens, 1984), research would be well served if authors described outlier data analysis in their reports. One confounding issue may </w:t>
      </w:r>
      <w:r>
        <w:t>be journal word limits. The Open Science Framework provides the option to publish online supplemental materials that can be referenced in manuscripts with permanent identifiers (i.e., weblinks and DOIs). Potentially, if journal or reviewer comments indicat</w:t>
      </w:r>
      <w:r>
        <w:t xml:space="preserve">e shortening data analyses sections, the detailed specifics of these plans can be shifted to these online resources. While the best practice may be to include this information in the published article (as Marjan Bakker and Wicherts (2014) note that sample </w:t>
      </w:r>
      <w:r>
        <w:t>size and degrees of freedom are often inconsistent and difficult to follow in publications), online materials can be useful when that option is restricted.</w:t>
      </w:r>
    </w:p>
    <w:p w14:paraId="2DB2709A" w14:textId="77777777" w:rsidR="00683E57" w:rsidRDefault="00F17784" w:rsidP="00CD7CC1">
      <w:pPr>
        <w:pStyle w:val="BodyText"/>
        <w:spacing w:after="0"/>
      </w:pPr>
      <w:r>
        <w:t xml:space="preserve">We recommend that those researchers who create reporting guidelines and checklists ensure that they </w:t>
      </w:r>
      <w:r>
        <w:t>address the need to discuss if outliers were identified, and if so, how outliers were identified, how these outliers were handled, and any differences that arose in conclusions when outliers were excluded/included. We believe this information should be inc</w:t>
      </w:r>
      <w:r>
        <w:t>luded in every single publication that includes human subjects data (even simply to report that no outliers were found). We implore researchers not to overlook the importance of visualizing their data and identifying data that may not fall within the expec</w:t>
      </w:r>
      <w:r>
        <w:t xml:space="preserve">ted range or pattern of the sample. We suggest that all researchers implement relevant checklists or guidelines (a list of which can be found at </w:t>
      </w:r>
      <w:hyperlink r:id="rId11">
        <w:r>
          <w:rPr>
            <w:rStyle w:val="Hyperlink"/>
          </w:rPr>
          <w:t>https://osf.io/kgnva/wiki/home/</w:t>
        </w:r>
      </w:hyperlink>
      <w:r>
        <w:t>) when handling, analyzing, a</w:t>
      </w:r>
      <w:r>
        <w:t>nd reporting their data as following these types of checklists has been shown to make a modest improvement in some reporting practices (Caron, March, Cohen, &amp; Schmidt, 2017; Macleod, 2017). Additionally, there are online tools that can assist even the most</w:t>
      </w:r>
      <w:r>
        <w:t xml:space="preserve"> junior researcher in the cleaning of data, including outlier detection and handling, for almost any type of analysis. From online courses (e.g., Coursera.org, DataCamp.com), free software with plugins (e.g., JASP and jamovi; JASP Team, 2018; project, 2018</w:t>
      </w:r>
      <w:r>
        <w:t>), and YouTube tutorials that detail the step by step procedures (available from the second author at StatsTools.com), inexperienced researchers can learn more and better their reporting and statistical practices. Further, we recommend that those who are r</w:t>
      </w:r>
      <w:r>
        <w:t>eviewers and editors consider data screening procedures when assessing research articles and request this information be added when it is absent from a report. This article spotlights the positive changes that are occurring as researchers are actively resh</w:t>
      </w:r>
      <w:r>
        <w:t>aping reporting practices in response to the conversation around transparency. We believe that these results present a positive outlook for the future of the psychological sciences, especially when coupled with the training, reviewer feedback, and incentiv</w:t>
      </w:r>
      <w:r>
        <w:t>e structure change, that can only improve our science.</w:t>
      </w:r>
    </w:p>
    <w:p w14:paraId="31967CF8" w14:textId="77777777" w:rsidR="00683E57" w:rsidRDefault="00F17784" w:rsidP="00CD7CC1">
      <w:pPr>
        <w:spacing w:after="0"/>
      </w:pPr>
      <w:r>
        <w:br w:type="page"/>
      </w:r>
    </w:p>
    <w:p w14:paraId="7544F255" w14:textId="1EC9C6DB" w:rsidR="00683E57" w:rsidRDefault="00F17784" w:rsidP="00CD7CC1">
      <w:pPr>
        <w:pStyle w:val="Heading1"/>
      </w:pPr>
      <w:bookmarkStart w:id="14" w:name="references"/>
      <w:r>
        <w:lastRenderedPageBreak/>
        <w:t>References</w:t>
      </w:r>
      <w:bookmarkEnd w:id="14"/>
    </w:p>
    <w:p w14:paraId="7111A894" w14:textId="77777777" w:rsidR="00683E57" w:rsidRDefault="00F17784" w:rsidP="00CD7CC1">
      <w:pPr>
        <w:pStyle w:val="Bibliography"/>
        <w:spacing w:after="0"/>
      </w:pPr>
      <w:bookmarkStart w:id="15" w:name="ref-Asendorpf2012"/>
      <w:bookmarkStart w:id="16" w:name="refs"/>
      <w:r>
        <w:t xml:space="preserve">Asendorpf, J. B., Conner, M., De Fruyt, F., De Houwer, J., Denissen, J. J. A., Fiedler, K., … Wicherts, J. M. (2013). Recommendations for increasing replicability in psychology. </w:t>
      </w:r>
      <w:r>
        <w:rPr>
          <w:i/>
        </w:rPr>
        <w:t>European Journal of Personality</w:t>
      </w:r>
      <w:r>
        <w:t xml:space="preserve">, </w:t>
      </w:r>
      <w:r>
        <w:rPr>
          <w:i/>
        </w:rPr>
        <w:t>27</w:t>
      </w:r>
      <w:r>
        <w:t xml:space="preserve">(2), 108–119. </w:t>
      </w:r>
      <w:hyperlink r:id="rId12">
        <w:r>
          <w:rPr>
            <w:rStyle w:val="Hyperlink"/>
          </w:rPr>
          <w:t>https://doi.org/10.1002/per.1919</w:t>
        </w:r>
      </w:hyperlink>
    </w:p>
    <w:p w14:paraId="4D7D1FCA" w14:textId="77777777" w:rsidR="00683E57" w:rsidRDefault="00F17784" w:rsidP="00CD7CC1">
      <w:pPr>
        <w:pStyle w:val="Bibliography"/>
        <w:spacing w:after="0"/>
      </w:pPr>
      <w:bookmarkStart w:id="17" w:name="ref-Aust2017"/>
      <w:bookmarkEnd w:id="15"/>
      <w:r>
        <w:t xml:space="preserve">Aust, F., &amp; Barth, M. (2017). papaja: Create APA manuscripts with R Markdown. Retrieved from </w:t>
      </w:r>
      <w:hyperlink r:id="rId13">
        <w:r>
          <w:rPr>
            <w:rStyle w:val="Hyperlink"/>
          </w:rPr>
          <w:t>https://github.com/crsh/papaja</w:t>
        </w:r>
      </w:hyperlink>
    </w:p>
    <w:p w14:paraId="5439631F" w14:textId="77777777" w:rsidR="00683E57" w:rsidRDefault="00F17784" w:rsidP="00CD7CC1">
      <w:pPr>
        <w:pStyle w:val="Bibliography"/>
        <w:spacing w:after="0"/>
      </w:pPr>
      <w:bookmarkStart w:id="18" w:name="ref-Bakker2014a"/>
      <w:bookmarkEnd w:id="17"/>
      <w:r>
        <w:t>Bakker, M., &amp; Wicherts, J.</w:t>
      </w:r>
      <w:r>
        <w:t xml:space="preserve"> M. (2014). Outlier removal, sum scores, and the inflation of the type I error rate in independent samples t tests: The power of alternatives and recommendations. </w:t>
      </w:r>
      <w:r>
        <w:rPr>
          <w:i/>
        </w:rPr>
        <w:t>Psychological Methods</w:t>
      </w:r>
      <w:r>
        <w:t xml:space="preserve">, </w:t>
      </w:r>
      <w:r>
        <w:rPr>
          <w:i/>
        </w:rPr>
        <w:t>19</w:t>
      </w:r>
      <w:r>
        <w:t>(3), 409.</w:t>
      </w:r>
    </w:p>
    <w:p w14:paraId="389C74D4" w14:textId="77777777" w:rsidR="00683E57" w:rsidRDefault="00F17784" w:rsidP="00CD7CC1">
      <w:pPr>
        <w:pStyle w:val="Bibliography"/>
        <w:spacing w:after="0"/>
      </w:pPr>
      <w:bookmarkStart w:id="19" w:name="ref-Bakker2014"/>
      <w:bookmarkEnd w:id="18"/>
      <w:r>
        <w:t xml:space="preserve">Bakker, M., &amp; Wicherts, J. M. (2014). Outlier removal and </w:t>
      </w:r>
      <w:r>
        <w:t xml:space="preserve">the relation with reporting errors and quality of psychological research. </w:t>
      </w:r>
      <w:r>
        <w:rPr>
          <w:i/>
        </w:rPr>
        <w:t>PLoS ONE</w:t>
      </w:r>
      <w:r>
        <w:t xml:space="preserve">, </w:t>
      </w:r>
      <w:r>
        <w:rPr>
          <w:i/>
        </w:rPr>
        <w:t>9</w:t>
      </w:r>
      <w:r>
        <w:t xml:space="preserve">(7), 1–9. </w:t>
      </w:r>
      <w:hyperlink r:id="rId14">
        <w:r>
          <w:rPr>
            <w:rStyle w:val="Hyperlink"/>
          </w:rPr>
          <w:t>https://doi.org/10.1371/journal.pone.0103360</w:t>
        </w:r>
      </w:hyperlink>
    </w:p>
    <w:p w14:paraId="653AB750" w14:textId="77777777" w:rsidR="00683E57" w:rsidRDefault="00F17784" w:rsidP="00CD7CC1">
      <w:pPr>
        <w:pStyle w:val="Bibliography"/>
        <w:spacing w:after="0"/>
      </w:pPr>
      <w:bookmarkStart w:id="20" w:name="ref-Beckman1983"/>
      <w:bookmarkEnd w:id="19"/>
      <w:r>
        <w:t>Beckman, R. J., &amp; Cook, R. D. (1983). [Outlier......</w:t>
      </w:r>
      <w:r>
        <w:t xml:space="preserve">....s]: Response. </w:t>
      </w:r>
      <w:r>
        <w:rPr>
          <w:i/>
        </w:rPr>
        <w:t>Technometrics</w:t>
      </w:r>
      <w:r>
        <w:t xml:space="preserve">, </w:t>
      </w:r>
      <w:r>
        <w:rPr>
          <w:i/>
        </w:rPr>
        <w:t>25</w:t>
      </w:r>
      <w:r>
        <w:t xml:space="preserve">(2), 161. </w:t>
      </w:r>
      <w:hyperlink r:id="rId15">
        <w:r>
          <w:rPr>
            <w:rStyle w:val="Hyperlink"/>
          </w:rPr>
          <w:t>https://doi.org/10.2307/1268548</w:t>
        </w:r>
      </w:hyperlink>
    </w:p>
    <w:p w14:paraId="18977126" w14:textId="77777777" w:rsidR="00683E57" w:rsidRDefault="00F17784" w:rsidP="00CD7CC1">
      <w:pPr>
        <w:pStyle w:val="Bibliography"/>
        <w:spacing w:after="0"/>
      </w:pPr>
      <w:bookmarkStart w:id="21" w:name="ref-Benjamin2018"/>
      <w:bookmarkEnd w:id="20"/>
      <w:r>
        <w:t>Benjamin, D. J., Berger, J. O., Johannesson, M., Nosek, B. A., Wagenmakers, E.-J., Berk, R., … Johnson, V. E. (2018). Redefine s</w:t>
      </w:r>
      <w:r>
        <w:t xml:space="preserve">tatistical significance. </w:t>
      </w:r>
      <w:r>
        <w:rPr>
          <w:i/>
        </w:rPr>
        <w:t>Nature Human Behaviour</w:t>
      </w:r>
      <w:r>
        <w:t xml:space="preserve">, </w:t>
      </w:r>
      <w:r>
        <w:rPr>
          <w:i/>
        </w:rPr>
        <w:t>2</w:t>
      </w:r>
      <w:r>
        <w:t xml:space="preserve">(1), 6–10. </w:t>
      </w:r>
      <w:hyperlink r:id="rId16">
        <w:r>
          <w:rPr>
            <w:rStyle w:val="Hyperlink"/>
          </w:rPr>
          <w:t>https://doi.org/10.1038/s41562-017-0189-z</w:t>
        </w:r>
      </w:hyperlink>
    </w:p>
    <w:p w14:paraId="04DC86AA" w14:textId="77777777" w:rsidR="00683E57" w:rsidRDefault="00F17784" w:rsidP="00CD7CC1">
      <w:pPr>
        <w:pStyle w:val="Bibliography"/>
        <w:spacing w:after="0"/>
      </w:pPr>
      <w:bookmarkStart w:id="22" w:name="ref-Bernoulli1777"/>
      <w:bookmarkEnd w:id="21"/>
      <w:r>
        <w:t>Bernoulli, D., &amp; Allen, C. G. (1961). The most probable choice between several discrepant ob</w:t>
      </w:r>
      <w:r>
        <w:t xml:space="preserve">servations and the formation therefrom of the most likely induction. </w:t>
      </w:r>
      <w:r>
        <w:rPr>
          <w:i/>
        </w:rPr>
        <w:t>Biometrika</w:t>
      </w:r>
      <w:r>
        <w:t xml:space="preserve">, </w:t>
      </w:r>
      <w:r>
        <w:rPr>
          <w:i/>
        </w:rPr>
        <w:t>48</w:t>
      </w:r>
      <w:r>
        <w:t xml:space="preserve">(1-2), 3–18. </w:t>
      </w:r>
      <w:hyperlink r:id="rId17">
        <w:r>
          <w:rPr>
            <w:rStyle w:val="Hyperlink"/>
          </w:rPr>
          <w:t>https://doi.org/10.1093/biomet/48.1-2.3</w:t>
        </w:r>
      </w:hyperlink>
    </w:p>
    <w:p w14:paraId="1B26E2A7" w14:textId="77777777" w:rsidR="00683E57" w:rsidRDefault="00F17784" w:rsidP="00CD7CC1">
      <w:pPr>
        <w:pStyle w:val="Bibliography"/>
        <w:spacing w:after="0"/>
      </w:pPr>
      <w:bookmarkStart w:id="23" w:name="ref-Buchanan2018b"/>
      <w:bookmarkEnd w:id="22"/>
      <w:r>
        <w:lastRenderedPageBreak/>
        <w:t xml:space="preserve">Buchanan, E. M., &amp; Scofield, J. E. (2018). Methods to detect </w:t>
      </w:r>
      <w:r>
        <w:t xml:space="preserve">low quality data and its implication for psychological research. </w:t>
      </w:r>
      <w:r>
        <w:rPr>
          <w:i/>
        </w:rPr>
        <w:t>Behavior Research Methods</w:t>
      </w:r>
      <w:r>
        <w:t xml:space="preserve">. </w:t>
      </w:r>
      <w:hyperlink r:id="rId18">
        <w:r>
          <w:rPr>
            <w:rStyle w:val="Hyperlink"/>
          </w:rPr>
          <w:t>https://doi.org/10.3758/s13428-018-1035-6</w:t>
        </w:r>
      </w:hyperlink>
    </w:p>
    <w:p w14:paraId="3DD1F1AA" w14:textId="77777777" w:rsidR="00683E57" w:rsidRDefault="00F17784" w:rsidP="00CD7CC1">
      <w:pPr>
        <w:pStyle w:val="Bibliography"/>
        <w:spacing w:after="0"/>
      </w:pPr>
      <w:bookmarkStart w:id="24" w:name="ref-Caron2017"/>
      <w:bookmarkEnd w:id="23"/>
      <w:r>
        <w:t xml:space="preserve">Caron, J. E., March, J. K., Cohen, M. B., &amp; Schmidt, R. L. (2017). A Survey of the Prevalence and Impact of Reporting Guideline Endorsement in Pathology Journals, 314–322. </w:t>
      </w:r>
      <w:hyperlink r:id="rId19">
        <w:r>
          <w:rPr>
            <w:rStyle w:val="Hyperlink"/>
          </w:rPr>
          <w:t>https://doi.org/10.1093/AJCP/</w:t>
        </w:r>
        <w:r>
          <w:rPr>
            <w:rStyle w:val="Hyperlink"/>
          </w:rPr>
          <w:t>AQX080</w:t>
        </w:r>
      </w:hyperlink>
    </w:p>
    <w:p w14:paraId="3A30EE29" w14:textId="77777777" w:rsidR="00683E57" w:rsidRDefault="00F17784" w:rsidP="00CD7CC1">
      <w:pPr>
        <w:pStyle w:val="Bibliography"/>
        <w:spacing w:after="0"/>
      </w:pPr>
      <w:bookmarkStart w:id="25" w:name="ref-Chang2019"/>
      <w:bookmarkEnd w:id="24"/>
      <w:r>
        <w:t xml:space="preserve">Chang, J. H., &amp; Bushman, B. J. (2019). Effect of Exposure to Gun Violence in Video Games on Children’s Dangerous Behavior With Real Guns: A Randomized Clinical Trial. </w:t>
      </w:r>
      <w:r>
        <w:rPr>
          <w:i/>
        </w:rPr>
        <w:t>JAMA Network Open</w:t>
      </w:r>
      <w:r>
        <w:t xml:space="preserve">, </w:t>
      </w:r>
      <w:r>
        <w:rPr>
          <w:i/>
        </w:rPr>
        <w:t>2</w:t>
      </w:r>
      <w:r>
        <w:t xml:space="preserve">(5), e194319. </w:t>
      </w:r>
      <w:hyperlink r:id="rId20">
        <w:r>
          <w:rPr>
            <w:rStyle w:val="Hyperlink"/>
          </w:rPr>
          <w:t>https://doi.org/10.1001/jamanetworkopen.2019.4319</w:t>
        </w:r>
      </w:hyperlink>
    </w:p>
    <w:p w14:paraId="022D67DA" w14:textId="77777777" w:rsidR="00683E57" w:rsidRDefault="00F17784" w:rsidP="00CD7CC1">
      <w:pPr>
        <w:pStyle w:val="Bibliography"/>
        <w:spacing w:after="0"/>
      </w:pPr>
      <w:bookmarkStart w:id="26" w:name="ref-Cook1980"/>
      <w:bookmarkEnd w:id="25"/>
      <w:r>
        <w:t xml:space="preserve">Cook, R. D., &amp; Weisberg, S. (1980). Characterizations of an empirical influence function for detecting influential cases in regression. </w:t>
      </w:r>
      <w:r>
        <w:rPr>
          <w:i/>
        </w:rPr>
        <w:t>Technometrics</w:t>
      </w:r>
      <w:r>
        <w:t xml:space="preserve">, </w:t>
      </w:r>
      <w:r>
        <w:rPr>
          <w:i/>
        </w:rPr>
        <w:t>22</w:t>
      </w:r>
      <w:r>
        <w:t xml:space="preserve">(1), 495–508. </w:t>
      </w:r>
      <w:hyperlink r:id="rId21">
        <w:r>
          <w:rPr>
            <w:rStyle w:val="Hyperlink"/>
          </w:rPr>
          <w:t>https://doi.org/10.2307/1268187</w:t>
        </w:r>
      </w:hyperlink>
    </w:p>
    <w:p w14:paraId="22F5B837" w14:textId="77777777" w:rsidR="00683E57" w:rsidRDefault="00F17784" w:rsidP="00CD7CC1">
      <w:pPr>
        <w:pStyle w:val="Bibliography"/>
        <w:spacing w:after="0"/>
      </w:pPr>
      <w:bookmarkStart w:id="27" w:name="ref-Cumming2008"/>
      <w:bookmarkEnd w:id="26"/>
      <w:r>
        <w:t xml:space="preserve">Cumming, G. (2008). Replication and p intervals. </w:t>
      </w:r>
      <w:r>
        <w:rPr>
          <w:i/>
        </w:rPr>
        <w:t>Perspectives on Psychological Science</w:t>
      </w:r>
      <w:r>
        <w:t xml:space="preserve">, </w:t>
      </w:r>
      <w:r>
        <w:rPr>
          <w:i/>
        </w:rPr>
        <w:t>3</w:t>
      </w:r>
      <w:r>
        <w:t xml:space="preserve">(4), 286–300. </w:t>
      </w:r>
      <w:hyperlink r:id="rId22">
        <w:r>
          <w:rPr>
            <w:rStyle w:val="Hyperlink"/>
          </w:rPr>
          <w:t>https://doi.org/10.1</w:t>
        </w:r>
        <w:r>
          <w:rPr>
            <w:rStyle w:val="Hyperlink"/>
          </w:rPr>
          <w:t>111/j.1745-6924.2008.00079.x</w:t>
        </w:r>
      </w:hyperlink>
    </w:p>
    <w:p w14:paraId="47A8DB4B" w14:textId="77777777" w:rsidR="00683E57" w:rsidRDefault="00F17784" w:rsidP="00CD7CC1">
      <w:pPr>
        <w:pStyle w:val="Bibliography"/>
        <w:spacing w:after="0"/>
      </w:pPr>
      <w:bookmarkStart w:id="28" w:name="ref-Doyen2012"/>
      <w:bookmarkEnd w:id="27"/>
      <w:r>
        <w:t xml:space="preserve">Doyen, S., Klein, O., Pichon, C.-L., &amp; Cleeremans, A. (2012). Behavioral priming: It’s all in the mind, but whose mind? </w:t>
      </w:r>
      <w:r>
        <w:rPr>
          <w:i/>
        </w:rPr>
        <w:t>PLoS ONE</w:t>
      </w:r>
      <w:r>
        <w:t xml:space="preserve">, </w:t>
      </w:r>
      <w:r>
        <w:rPr>
          <w:i/>
        </w:rPr>
        <w:t>7</w:t>
      </w:r>
      <w:r>
        <w:t xml:space="preserve">(1), e29081. </w:t>
      </w:r>
      <w:hyperlink r:id="rId23">
        <w:r>
          <w:rPr>
            <w:rStyle w:val="Hyperlink"/>
          </w:rPr>
          <w:t>https://doi.org/10.</w:t>
        </w:r>
        <w:r>
          <w:rPr>
            <w:rStyle w:val="Hyperlink"/>
          </w:rPr>
          <w:t>1371/journal.pone.0029081</w:t>
        </w:r>
      </w:hyperlink>
    </w:p>
    <w:p w14:paraId="33F19766" w14:textId="77777777" w:rsidR="00683E57" w:rsidRDefault="00F17784" w:rsidP="00CD7CC1">
      <w:pPr>
        <w:pStyle w:val="Bibliography"/>
        <w:spacing w:after="0"/>
      </w:pPr>
      <w:bookmarkStart w:id="29" w:name="ref-Etz2016"/>
      <w:bookmarkEnd w:id="28"/>
      <w:r>
        <w:t xml:space="preserve">Etz, A., &amp; Vandekerckhove, J. (2016). A Bayesian perspective on the reproducibility project: Psychology. </w:t>
      </w:r>
      <w:r>
        <w:rPr>
          <w:i/>
        </w:rPr>
        <w:t>PLoS ONE</w:t>
      </w:r>
      <w:r>
        <w:t xml:space="preserve">, </w:t>
      </w:r>
      <w:r>
        <w:rPr>
          <w:i/>
        </w:rPr>
        <w:t>11</w:t>
      </w:r>
      <w:r>
        <w:t xml:space="preserve">(2), 1–12. </w:t>
      </w:r>
      <w:hyperlink r:id="rId24">
        <w:r>
          <w:rPr>
            <w:rStyle w:val="Hyperlink"/>
          </w:rPr>
          <w:t>https://doi.org/10.1371/journal.pone.0</w:t>
        </w:r>
        <w:r>
          <w:rPr>
            <w:rStyle w:val="Hyperlink"/>
          </w:rPr>
          <w:t>149794</w:t>
        </w:r>
      </w:hyperlink>
    </w:p>
    <w:p w14:paraId="564A0503" w14:textId="77777777" w:rsidR="00683E57" w:rsidRDefault="00F17784" w:rsidP="00CD7CC1">
      <w:pPr>
        <w:pStyle w:val="Bibliography"/>
        <w:spacing w:after="0"/>
      </w:pPr>
      <w:bookmarkStart w:id="30" w:name="ref-Ferguson2012a"/>
      <w:bookmarkEnd w:id="29"/>
      <w:r>
        <w:t xml:space="preserve">Ferguson, C. J., &amp; Brannick, M. T. (2012). Publication bias in psychological science: Prevalence, methods for identifying and controlling, and implications for the use of meta-analyses. </w:t>
      </w:r>
      <w:r>
        <w:rPr>
          <w:i/>
        </w:rPr>
        <w:t>Psychological Methods</w:t>
      </w:r>
      <w:r>
        <w:t xml:space="preserve">, </w:t>
      </w:r>
      <w:r>
        <w:rPr>
          <w:i/>
        </w:rPr>
        <w:t>17</w:t>
      </w:r>
      <w:r>
        <w:t xml:space="preserve">(1), 120–128. </w:t>
      </w:r>
      <w:hyperlink r:id="rId25">
        <w:r>
          <w:rPr>
            <w:rStyle w:val="Hyperlink"/>
          </w:rPr>
          <w:t>https://doi.org/10.1037/a0024445</w:t>
        </w:r>
      </w:hyperlink>
    </w:p>
    <w:p w14:paraId="70AF1F93" w14:textId="77777777" w:rsidR="00683E57" w:rsidRDefault="00F17784" w:rsidP="00CD7CC1">
      <w:pPr>
        <w:pStyle w:val="Bibliography"/>
        <w:spacing w:after="0"/>
      </w:pPr>
      <w:bookmarkStart w:id="31" w:name="ref-Fiedler2016"/>
      <w:bookmarkEnd w:id="30"/>
      <w:r>
        <w:lastRenderedPageBreak/>
        <w:t xml:space="preserve">Fiedler, K., &amp; Schwarz, N. (2016). Questionable research practices revisited. </w:t>
      </w:r>
      <w:r>
        <w:rPr>
          <w:i/>
        </w:rPr>
        <w:t>Social Psychological and Personality Science</w:t>
      </w:r>
      <w:r>
        <w:t xml:space="preserve">, </w:t>
      </w:r>
      <w:r>
        <w:rPr>
          <w:i/>
        </w:rPr>
        <w:t>7</w:t>
      </w:r>
      <w:r>
        <w:t xml:space="preserve">(1), 45–52. </w:t>
      </w:r>
      <w:hyperlink r:id="rId26">
        <w:r>
          <w:rPr>
            <w:rStyle w:val="Hyperlink"/>
          </w:rPr>
          <w:t>https://doi.org/10.1177/1948550615612150</w:t>
        </w:r>
      </w:hyperlink>
    </w:p>
    <w:p w14:paraId="095B424B" w14:textId="77777777" w:rsidR="00683E57" w:rsidRDefault="00F17784" w:rsidP="00CD7CC1">
      <w:pPr>
        <w:pStyle w:val="Bibliography"/>
        <w:spacing w:after="0"/>
      </w:pPr>
      <w:bookmarkStart w:id="32" w:name="ref-Gelman2006"/>
      <w:bookmarkEnd w:id="31"/>
      <w:r>
        <w:t xml:space="preserve">Gelman, A. (2006). Multilevel (hierarchical) modeling: What it can and cannot do. </w:t>
      </w:r>
      <w:r>
        <w:rPr>
          <w:i/>
        </w:rPr>
        <w:t>Technometrics</w:t>
      </w:r>
      <w:r>
        <w:t xml:space="preserve">, </w:t>
      </w:r>
      <w:r>
        <w:rPr>
          <w:i/>
        </w:rPr>
        <w:t>48</w:t>
      </w:r>
      <w:r>
        <w:t xml:space="preserve">(3), 432–435. </w:t>
      </w:r>
      <w:hyperlink r:id="rId27">
        <w:r>
          <w:rPr>
            <w:rStyle w:val="Hyperlink"/>
          </w:rPr>
          <w:t>https://doi.org/10.1198/00401700500000</w:t>
        </w:r>
        <w:r>
          <w:rPr>
            <w:rStyle w:val="Hyperlink"/>
          </w:rPr>
          <w:t>0661</w:t>
        </w:r>
      </w:hyperlink>
    </w:p>
    <w:p w14:paraId="0D0ADC57" w14:textId="77777777" w:rsidR="00683E57" w:rsidRDefault="00F17784" w:rsidP="00CD7CC1">
      <w:pPr>
        <w:pStyle w:val="Bibliography"/>
        <w:spacing w:after="0"/>
      </w:pPr>
      <w:bookmarkStart w:id="33" w:name="ref-Gigerenzer2004"/>
      <w:bookmarkEnd w:id="32"/>
      <w:r>
        <w:t xml:space="preserve">Gigerenzer, G. (2004). Mindless statistics. </w:t>
      </w:r>
      <w:r>
        <w:rPr>
          <w:i/>
        </w:rPr>
        <w:t>The Journal of Socio-Economics</w:t>
      </w:r>
      <w:r>
        <w:t xml:space="preserve">, </w:t>
      </w:r>
      <w:r>
        <w:rPr>
          <w:i/>
        </w:rPr>
        <w:t>33</w:t>
      </w:r>
      <w:r>
        <w:t xml:space="preserve">(5), 587–606. </w:t>
      </w:r>
      <w:hyperlink r:id="rId28">
        <w:r>
          <w:rPr>
            <w:rStyle w:val="Hyperlink"/>
          </w:rPr>
          <w:t>https://doi.org/10.1016/j.socec.2004.09.033</w:t>
        </w:r>
      </w:hyperlink>
    </w:p>
    <w:p w14:paraId="74B3A5B5" w14:textId="77777777" w:rsidR="00683E57" w:rsidRDefault="00F17784" w:rsidP="00CD7CC1">
      <w:pPr>
        <w:pStyle w:val="Bibliography"/>
        <w:spacing w:after="0"/>
      </w:pPr>
      <w:bookmarkStart w:id="34" w:name="ref-Hilgard2019"/>
      <w:bookmarkEnd w:id="33"/>
      <w:r>
        <w:t xml:space="preserve">Hilgard, J. (2019). Comment on Chang &amp; Bushman (2019): Effects of outlier exclusion. Retrieved from </w:t>
      </w:r>
      <w:hyperlink r:id="rId29">
        <w:r>
          <w:rPr>
            <w:rStyle w:val="Hyperlink"/>
          </w:rPr>
          <w:t>https://crystalprisonzone.blogspot.com/2019/06/</w:t>
        </w:r>
        <w:r>
          <w:rPr>
            <w:rStyle w:val="Hyperlink"/>
          </w:rPr>
          <w:t>comment-on-chang-bushman-2019-effects.html</w:t>
        </w:r>
      </w:hyperlink>
    </w:p>
    <w:p w14:paraId="2AE9021F" w14:textId="77777777" w:rsidR="00683E57" w:rsidRDefault="00F17784" w:rsidP="00CD7CC1">
      <w:pPr>
        <w:pStyle w:val="Bibliography"/>
        <w:spacing w:after="0"/>
      </w:pPr>
      <w:bookmarkStart w:id="35" w:name="ref-Hodge2004"/>
      <w:bookmarkEnd w:id="34"/>
      <w:r>
        <w:t xml:space="preserve">Hodge, V. J., &amp; Austin, J. (2004). A survey of outlier detection methodologies. </w:t>
      </w:r>
      <w:r>
        <w:rPr>
          <w:i/>
        </w:rPr>
        <w:t>Artificial Intelligence Review</w:t>
      </w:r>
      <w:r>
        <w:t xml:space="preserve">, </w:t>
      </w:r>
      <w:r>
        <w:rPr>
          <w:i/>
        </w:rPr>
        <w:t>22</w:t>
      </w:r>
      <w:r>
        <w:t xml:space="preserve">(2), 85–126. </w:t>
      </w:r>
      <w:hyperlink r:id="rId30">
        <w:r>
          <w:rPr>
            <w:rStyle w:val="Hyperlink"/>
          </w:rPr>
          <w:t>https://doi.org/10.1007/s</w:t>
        </w:r>
        <w:r>
          <w:rPr>
            <w:rStyle w:val="Hyperlink"/>
          </w:rPr>
          <w:t>10462-004-4304-y</w:t>
        </w:r>
      </w:hyperlink>
    </w:p>
    <w:p w14:paraId="4803325B" w14:textId="77777777" w:rsidR="00683E57" w:rsidRDefault="00F17784" w:rsidP="00CD7CC1">
      <w:pPr>
        <w:pStyle w:val="Bibliography"/>
        <w:spacing w:after="0"/>
      </w:pPr>
      <w:bookmarkStart w:id="36" w:name="ref-Ioannidis2005"/>
      <w:bookmarkEnd w:id="35"/>
      <w:r>
        <w:t xml:space="preserve">Ioannidis, J. P. A. (2005). Why most published research findings are false. </w:t>
      </w:r>
      <w:r>
        <w:rPr>
          <w:i/>
        </w:rPr>
        <w:t>PLoS Medicine</w:t>
      </w:r>
      <w:r>
        <w:t xml:space="preserve">, </w:t>
      </w:r>
      <w:r>
        <w:rPr>
          <w:i/>
        </w:rPr>
        <w:t>2</w:t>
      </w:r>
      <w:r>
        <w:t xml:space="preserve">(8), e124. </w:t>
      </w:r>
      <w:hyperlink r:id="rId31">
        <w:r>
          <w:rPr>
            <w:rStyle w:val="Hyperlink"/>
          </w:rPr>
          <w:t>https://doi.org/10.1371/journal.pmed.0020124</w:t>
        </w:r>
      </w:hyperlink>
    </w:p>
    <w:p w14:paraId="3DAFB7C2" w14:textId="77777777" w:rsidR="00683E57" w:rsidRDefault="00F17784" w:rsidP="00CD7CC1">
      <w:pPr>
        <w:pStyle w:val="Bibliography"/>
        <w:spacing w:after="0"/>
      </w:pPr>
      <w:bookmarkStart w:id="37" w:name="ref-JASP2018"/>
      <w:bookmarkEnd w:id="36"/>
      <w:r>
        <w:t>JASP Team. (2018). JASP (Ve</w:t>
      </w:r>
      <w:r>
        <w:t xml:space="preserve">rsion 0.8.6)[Computer software]. Retrieved from </w:t>
      </w:r>
      <w:hyperlink r:id="rId32">
        <w:r>
          <w:rPr>
            <w:rStyle w:val="Hyperlink"/>
          </w:rPr>
          <w:t>https://jasp-stats.org/</w:t>
        </w:r>
      </w:hyperlink>
    </w:p>
    <w:p w14:paraId="19295A22" w14:textId="77777777" w:rsidR="00683E57" w:rsidRDefault="00F17784" w:rsidP="00CD7CC1">
      <w:pPr>
        <w:pStyle w:val="Bibliography"/>
        <w:spacing w:after="0"/>
      </w:pPr>
      <w:bookmarkStart w:id="38" w:name="ref-Klein2014c"/>
      <w:bookmarkEnd w:id="37"/>
      <w:r>
        <w:t>Klein, R. A., Ratliff, K. A., Vianello, M., Adams, R. B., Bahník, Š., Bernstein, M. J., … Nosek, B. A. (2014). Investigating variation in rep</w:t>
      </w:r>
      <w:r>
        <w:t xml:space="preserve">licability: A "many labs" replication project. </w:t>
      </w:r>
      <w:r>
        <w:rPr>
          <w:i/>
        </w:rPr>
        <w:t>Social Psychology</w:t>
      </w:r>
      <w:r>
        <w:t xml:space="preserve">, </w:t>
      </w:r>
      <w:r>
        <w:rPr>
          <w:i/>
        </w:rPr>
        <w:t>45</w:t>
      </w:r>
      <w:r>
        <w:t xml:space="preserve">(3), 142–152. </w:t>
      </w:r>
      <w:hyperlink r:id="rId33">
        <w:r>
          <w:rPr>
            <w:rStyle w:val="Hyperlink"/>
          </w:rPr>
          <w:t>https://doi.org/10.1027/1864-9335/a000178</w:t>
        </w:r>
      </w:hyperlink>
    </w:p>
    <w:p w14:paraId="627376DB" w14:textId="77777777" w:rsidR="00683E57" w:rsidRDefault="00F17784" w:rsidP="00CD7CC1">
      <w:pPr>
        <w:pStyle w:val="Bibliography"/>
        <w:spacing w:after="0"/>
      </w:pPr>
      <w:bookmarkStart w:id="39" w:name="ref-Lakens2013"/>
      <w:bookmarkEnd w:id="38"/>
      <w:r>
        <w:t>Lakens, D. (2013). Calculating and reporting effect sizes to facilitate</w:t>
      </w:r>
      <w:r>
        <w:t xml:space="preserve"> cumulative science: a practical primer for t-tests and ANOVAs. </w:t>
      </w:r>
      <w:r>
        <w:rPr>
          <w:i/>
        </w:rPr>
        <w:t>Frontiers in Psychology</w:t>
      </w:r>
      <w:r>
        <w:t xml:space="preserve">, </w:t>
      </w:r>
      <w:r>
        <w:rPr>
          <w:i/>
        </w:rPr>
        <w:t>4</w:t>
      </w:r>
      <w:r>
        <w:t xml:space="preserve">. </w:t>
      </w:r>
      <w:hyperlink r:id="rId34">
        <w:r>
          <w:rPr>
            <w:rStyle w:val="Hyperlink"/>
          </w:rPr>
          <w:t>https://doi.org/10.3389/fpsyg.2013.00863</w:t>
        </w:r>
      </w:hyperlink>
    </w:p>
    <w:p w14:paraId="02A3ABB8" w14:textId="77777777" w:rsidR="00683E57" w:rsidRDefault="00F17784" w:rsidP="00CD7CC1">
      <w:pPr>
        <w:pStyle w:val="Bibliography"/>
        <w:spacing w:after="0"/>
      </w:pPr>
      <w:bookmarkStart w:id="40" w:name="ref-Lakens2018"/>
      <w:bookmarkEnd w:id="39"/>
      <w:r>
        <w:lastRenderedPageBreak/>
        <w:t xml:space="preserve">Lakens, D., Adolfi, F. G., Albers, C. J., Anvari, F., Apps, M. </w:t>
      </w:r>
      <w:r>
        <w:t xml:space="preserve">A. J., Argamon, S. E., … Zwaan, R. A. (2018). Justify your alpha. </w:t>
      </w:r>
      <w:r>
        <w:rPr>
          <w:i/>
        </w:rPr>
        <w:t>Nature Human Behaviour</w:t>
      </w:r>
      <w:r>
        <w:t xml:space="preserve">, </w:t>
      </w:r>
      <w:r>
        <w:rPr>
          <w:i/>
        </w:rPr>
        <w:t>2</w:t>
      </w:r>
      <w:r>
        <w:t xml:space="preserve">(3), 168–171. </w:t>
      </w:r>
      <w:hyperlink r:id="rId35">
        <w:r>
          <w:rPr>
            <w:rStyle w:val="Hyperlink"/>
          </w:rPr>
          <w:t>https://doi.org/10.1038/s41562-018-0311-x</w:t>
        </w:r>
      </w:hyperlink>
    </w:p>
    <w:p w14:paraId="5BFF647E" w14:textId="77777777" w:rsidR="00683E57" w:rsidRDefault="00F17784" w:rsidP="00CD7CC1">
      <w:pPr>
        <w:pStyle w:val="Bibliography"/>
        <w:spacing w:after="0"/>
      </w:pPr>
      <w:bookmarkStart w:id="41" w:name="ref-LeBel2013"/>
      <w:bookmarkEnd w:id="40"/>
      <w:r>
        <w:t>LeBel, E. P., Borsboom, D., Giner-Sorolla, R., H</w:t>
      </w:r>
      <w:r>
        <w:t xml:space="preserve">asselman, F., Peters, K. R., Ratliff, K. A., &amp; Smith, C. T. (2013). PsychDisclosure.org. </w:t>
      </w:r>
      <w:r>
        <w:rPr>
          <w:i/>
        </w:rPr>
        <w:t>Perspectives on Psychological Science</w:t>
      </w:r>
      <w:r>
        <w:t xml:space="preserve">, </w:t>
      </w:r>
      <w:r>
        <w:rPr>
          <w:i/>
        </w:rPr>
        <w:t>8</w:t>
      </w:r>
      <w:r>
        <w:t xml:space="preserve">(4), 424–432. </w:t>
      </w:r>
      <w:hyperlink r:id="rId36">
        <w:r>
          <w:rPr>
            <w:rStyle w:val="Hyperlink"/>
          </w:rPr>
          <w:t>https://doi.org/10.1177/1745691613491437</w:t>
        </w:r>
      </w:hyperlink>
    </w:p>
    <w:p w14:paraId="6FBF2DE2" w14:textId="77777777" w:rsidR="00683E57" w:rsidRDefault="00F17784" w:rsidP="00CD7CC1">
      <w:pPr>
        <w:pStyle w:val="Bibliography"/>
        <w:spacing w:after="0"/>
      </w:pPr>
      <w:bookmarkStart w:id="42" w:name="ref-Leggett"/>
      <w:bookmarkEnd w:id="41"/>
      <w:r>
        <w:t xml:space="preserve">Leggett, N. </w:t>
      </w:r>
      <w:r>
        <w:t xml:space="preserve">C., Thomas, N. A., Loetscher, T., &amp; Nicholls, M. E. R. (2013). The life of p: "Just significant" results are on the rise. </w:t>
      </w:r>
      <w:r>
        <w:rPr>
          <w:i/>
        </w:rPr>
        <w:t>Quarterly Journal of Experimental Psychology</w:t>
      </w:r>
      <w:r>
        <w:t xml:space="preserve">, </w:t>
      </w:r>
      <w:r>
        <w:rPr>
          <w:i/>
        </w:rPr>
        <w:t>66</w:t>
      </w:r>
      <w:r>
        <w:t xml:space="preserve">(12), 2303–2309. </w:t>
      </w:r>
      <w:hyperlink r:id="rId37">
        <w:r>
          <w:rPr>
            <w:rStyle w:val="Hyperlink"/>
          </w:rPr>
          <w:t>https</w:t>
        </w:r>
        <w:r>
          <w:rPr>
            <w:rStyle w:val="Hyperlink"/>
          </w:rPr>
          <w:t>://doi.org/10.1080/17470218.2013.863371</w:t>
        </w:r>
      </w:hyperlink>
    </w:p>
    <w:p w14:paraId="14502E77" w14:textId="77777777" w:rsidR="00683E57" w:rsidRDefault="00F17784" w:rsidP="00CD7CC1">
      <w:pPr>
        <w:pStyle w:val="Bibliography"/>
        <w:spacing w:after="0"/>
      </w:pPr>
      <w:bookmarkStart w:id="43" w:name="ref-Lindsay2015"/>
      <w:bookmarkEnd w:id="42"/>
      <w:r>
        <w:t xml:space="preserve">Lindsay, D. S. (2015). Replication in psychological science. </w:t>
      </w:r>
      <w:r>
        <w:rPr>
          <w:i/>
        </w:rPr>
        <w:t>Psychological Science</w:t>
      </w:r>
      <w:r>
        <w:t xml:space="preserve">, </w:t>
      </w:r>
      <w:r>
        <w:rPr>
          <w:i/>
        </w:rPr>
        <w:t>26</w:t>
      </w:r>
      <w:r>
        <w:t xml:space="preserve">(12), 1827–1832. </w:t>
      </w:r>
      <w:hyperlink r:id="rId38">
        <w:r>
          <w:rPr>
            <w:rStyle w:val="Hyperlink"/>
          </w:rPr>
          <w:t>https://doi.org/10.1177/0956797615616374</w:t>
        </w:r>
      </w:hyperlink>
    </w:p>
    <w:p w14:paraId="63134C57" w14:textId="77777777" w:rsidR="00683E57" w:rsidRDefault="00F17784" w:rsidP="00CD7CC1">
      <w:pPr>
        <w:pStyle w:val="Bibliography"/>
        <w:spacing w:after="0"/>
      </w:pPr>
      <w:bookmarkStart w:id="44" w:name="ref-Macleod2017"/>
      <w:bookmarkEnd w:id="43"/>
      <w:r>
        <w:t xml:space="preserve">Macleod, M. R. (2017). Findings of a retrospective, controlled cohort study of the impact of a change in Nature journals’ editorial policy for life sciences </w:t>
      </w:r>
      <w:r>
        <w:t xml:space="preserve">research on the completeness of reporting study design and execution. </w:t>
      </w:r>
      <w:hyperlink r:id="rId39">
        <w:r>
          <w:rPr>
            <w:rStyle w:val="Hyperlink"/>
          </w:rPr>
          <w:t>https://doi.org/10.1101/187245</w:t>
        </w:r>
      </w:hyperlink>
    </w:p>
    <w:p w14:paraId="76649FE3" w14:textId="77777777" w:rsidR="00683E57" w:rsidRDefault="00F17784" w:rsidP="00CD7CC1">
      <w:pPr>
        <w:pStyle w:val="Bibliography"/>
        <w:spacing w:after="0"/>
      </w:pPr>
      <w:bookmarkStart w:id="45" w:name="ref-Maxwell2015"/>
      <w:bookmarkEnd w:id="44"/>
      <w:r>
        <w:t xml:space="preserve">Maxwell, S. E., Lau, M. Y., &amp; Howard, G. S. (2015). Is psychology suffering from a replication crisis? What does “failure to replicate” really mean? </w:t>
      </w:r>
      <w:r>
        <w:rPr>
          <w:i/>
        </w:rPr>
        <w:t>American Psychologist</w:t>
      </w:r>
      <w:r>
        <w:t xml:space="preserve">, </w:t>
      </w:r>
      <w:r>
        <w:rPr>
          <w:i/>
        </w:rPr>
        <w:t>70</w:t>
      </w:r>
      <w:r>
        <w:t xml:space="preserve">(6), 487–498. </w:t>
      </w:r>
      <w:hyperlink r:id="rId40">
        <w:r>
          <w:rPr>
            <w:rStyle w:val="Hyperlink"/>
          </w:rPr>
          <w:t>https://doi.org/</w:t>
        </w:r>
        <w:r>
          <w:rPr>
            <w:rStyle w:val="Hyperlink"/>
          </w:rPr>
          <w:t>10.1037/a0039400</w:t>
        </w:r>
      </w:hyperlink>
    </w:p>
    <w:p w14:paraId="0D56B217" w14:textId="77777777" w:rsidR="00683E57" w:rsidRDefault="00F17784" w:rsidP="00CD7CC1">
      <w:pPr>
        <w:pStyle w:val="Bibliography"/>
        <w:spacing w:after="0"/>
      </w:pPr>
      <w:bookmarkStart w:id="46" w:name="ref-Miguel2014"/>
      <w:bookmarkEnd w:id="45"/>
      <w:r>
        <w:t xml:space="preserve">Miguel, E., Camerer, C., Casey, K., Cohen, J., Esterling, K. M., Gerber, A., … Laan, M. van der. (2014). Promoting transparency in social science research. </w:t>
      </w:r>
      <w:r>
        <w:rPr>
          <w:i/>
        </w:rPr>
        <w:t>Science</w:t>
      </w:r>
      <w:r>
        <w:t xml:space="preserve">, </w:t>
      </w:r>
      <w:r>
        <w:rPr>
          <w:i/>
        </w:rPr>
        <w:t>343</w:t>
      </w:r>
      <w:r>
        <w:t xml:space="preserve">(6166), 30–31. </w:t>
      </w:r>
      <w:hyperlink r:id="rId41">
        <w:r>
          <w:rPr>
            <w:rStyle w:val="Hyperlink"/>
          </w:rPr>
          <w:t>https://doi.org/10.1126/science.1245317</w:t>
        </w:r>
      </w:hyperlink>
    </w:p>
    <w:p w14:paraId="51FAE21D" w14:textId="77777777" w:rsidR="00683E57" w:rsidRDefault="00F17784" w:rsidP="00CD7CC1">
      <w:pPr>
        <w:pStyle w:val="Bibliography"/>
        <w:spacing w:after="0"/>
      </w:pPr>
      <w:bookmarkStart w:id="47" w:name="ref-Munoz-Garcia1990"/>
      <w:bookmarkEnd w:id="46"/>
      <w:r>
        <w:t xml:space="preserve">Muñoz-Garcia, J., Moreno-Rebollo, J. L., &amp; Pascual-Acosta, A. (1990). Outliers: A formal approach. </w:t>
      </w:r>
      <w:r>
        <w:rPr>
          <w:i/>
        </w:rPr>
        <w:t>International Statistical Review / Revue Internationale de Statistique</w:t>
      </w:r>
      <w:r>
        <w:t xml:space="preserve">, </w:t>
      </w:r>
      <w:r>
        <w:rPr>
          <w:i/>
        </w:rPr>
        <w:t>58</w:t>
      </w:r>
      <w:r>
        <w:t xml:space="preserve">(3), 215–226. </w:t>
      </w:r>
      <w:hyperlink r:id="rId42">
        <w:r>
          <w:rPr>
            <w:rStyle w:val="Hyperlink"/>
          </w:rPr>
          <w:t>https://doi.org/10.2307/1403805</w:t>
        </w:r>
      </w:hyperlink>
    </w:p>
    <w:p w14:paraId="20C1507F" w14:textId="77777777" w:rsidR="00683E57" w:rsidRDefault="00F17784" w:rsidP="00CD7CC1">
      <w:pPr>
        <w:pStyle w:val="Bibliography"/>
        <w:spacing w:after="0"/>
      </w:pPr>
      <w:bookmarkStart w:id="48" w:name="ref-Nelson2018"/>
      <w:bookmarkEnd w:id="47"/>
      <w:r>
        <w:lastRenderedPageBreak/>
        <w:t xml:space="preserve">Nelson, L. D., Simmons, J., &amp; Simonsohn, U. (2018). Psychology’s renaissance. </w:t>
      </w:r>
      <w:r>
        <w:rPr>
          <w:i/>
        </w:rPr>
        <w:t>Annual Review of Psychology</w:t>
      </w:r>
      <w:r>
        <w:t xml:space="preserve">, </w:t>
      </w:r>
      <w:r>
        <w:rPr>
          <w:i/>
        </w:rPr>
        <w:t>69</w:t>
      </w:r>
      <w:r>
        <w:t xml:space="preserve">(1), 511–534. </w:t>
      </w:r>
      <w:hyperlink r:id="rId43">
        <w:r>
          <w:rPr>
            <w:rStyle w:val="Hyperlink"/>
          </w:rPr>
          <w:t>https</w:t>
        </w:r>
        <w:r>
          <w:rPr>
            <w:rStyle w:val="Hyperlink"/>
          </w:rPr>
          <w:t>://doi.org/10.1146/annurev-psych-122216-011836</w:t>
        </w:r>
      </w:hyperlink>
    </w:p>
    <w:p w14:paraId="3339E96F" w14:textId="77777777" w:rsidR="00683E57" w:rsidRDefault="00F17784" w:rsidP="00CD7CC1">
      <w:pPr>
        <w:pStyle w:val="Bibliography"/>
        <w:spacing w:after="0"/>
      </w:pPr>
      <w:bookmarkStart w:id="49" w:name="ref-Nosek2015b"/>
      <w:bookmarkEnd w:id="48"/>
      <w:r>
        <w:t xml:space="preserve">Nosek, B. (2015). Promoting an open research culture. </w:t>
      </w:r>
      <w:r>
        <w:rPr>
          <w:i/>
        </w:rPr>
        <w:t>Science</w:t>
      </w:r>
      <w:r>
        <w:t xml:space="preserve">, </w:t>
      </w:r>
      <w:r>
        <w:rPr>
          <w:i/>
        </w:rPr>
        <w:t>348</w:t>
      </w:r>
      <w:r>
        <w:t>(6242), 1422–1425.</w:t>
      </w:r>
    </w:p>
    <w:p w14:paraId="4FBD243C" w14:textId="77777777" w:rsidR="00683E57" w:rsidRDefault="00F17784" w:rsidP="00CD7CC1">
      <w:pPr>
        <w:pStyle w:val="Bibliography"/>
        <w:spacing w:after="0"/>
      </w:pPr>
      <w:bookmarkStart w:id="50" w:name="ref-Nosek2012c"/>
      <w:bookmarkEnd w:id="49"/>
      <w:r>
        <w:t>Nosek, B. A., Spies, J. R., &amp; Motyl, M. (2012). Scientific utopia: II. Restructuring incentives and practices to promote tru</w:t>
      </w:r>
      <w:r>
        <w:t xml:space="preserve">th over publishability. </w:t>
      </w:r>
      <w:r>
        <w:rPr>
          <w:i/>
        </w:rPr>
        <w:t>Perspectives on Psychological Science</w:t>
      </w:r>
      <w:r>
        <w:t xml:space="preserve">, </w:t>
      </w:r>
      <w:r>
        <w:rPr>
          <w:i/>
        </w:rPr>
        <w:t>7</w:t>
      </w:r>
      <w:r>
        <w:t xml:space="preserve">(6), 615–631. </w:t>
      </w:r>
      <w:hyperlink r:id="rId44">
        <w:r>
          <w:rPr>
            <w:rStyle w:val="Hyperlink"/>
          </w:rPr>
          <w:t>https://doi.org/10.1177/1745691612459058</w:t>
        </w:r>
      </w:hyperlink>
    </w:p>
    <w:p w14:paraId="2623F4A1" w14:textId="77777777" w:rsidR="00683E57" w:rsidRDefault="00F17784" w:rsidP="00CD7CC1">
      <w:pPr>
        <w:pStyle w:val="Bibliography"/>
        <w:spacing w:after="0"/>
      </w:pPr>
      <w:bookmarkStart w:id="51" w:name="ref-ScienceCollaboration2015"/>
      <w:bookmarkEnd w:id="50"/>
      <w:r>
        <w:t>Open Science Collaboration. (2015). Estimating the reproducibility of psychol</w:t>
      </w:r>
      <w:r>
        <w:t xml:space="preserve">ogical science. </w:t>
      </w:r>
      <w:r>
        <w:rPr>
          <w:i/>
        </w:rPr>
        <w:t>Science</w:t>
      </w:r>
      <w:r>
        <w:t xml:space="preserve">, </w:t>
      </w:r>
      <w:r>
        <w:rPr>
          <w:i/>
        </w:rPr>
        <w:t>349</w:t>
      </w:r>
      <w:r>
        <w:t xml:space="preserve">(6251), aac4716. </w:t>
      </w:r>
      <w:hyperlink r:id="rId45">
        <w:r>
          <w:rPr>
            <w:rStyle w:val="Hyperlink"/>
          </w:rPr>
          <w:t>https://doi.org/10.1126/science.aac4716</w:t>
        </w:r>
      </w:hyperlink>
    </w:p>
    <w:p w14:paraId="4C6C8E5E" w14:textId="77777777" w:rsidR="00683E57" w:rsidRDefault="00F17784" w:rsidP="00CD7CC1">
      <w:pPr>
        <w:pStyle w:val="Bibliography"/>
        <w:spacing w:after="0"/>
      </w:pPr>
      <w:bookmarkStart w:id="52" w:name="ref-Orr1991"/>
      <w:bookmarkEnd w:id="51"/>
      <w:r>
        <w:t>Orr, J. M., Sackett, P. R., &amp; Dubois, C. L. Z. (1991). Outlier detection and treatment in I / O psychology: A su</w:t>
      </w:r>
      <w:r>
        <w:t xml:space="preserve">rvey of researcher beliefs and empirical illustration. </w:t>
      </w:r>
      <w:r>
        <w:rPr>
          <w:i/>
        </w:rPr>
        <w:t>Personnel Psychology</w:t>
      </w:r>
      <w:r>
        <w:t xml:space="preserve">, </w:t>
      </w:r>
      <w:r>
        <w:rPr>
          <w:i/>
        </w:rPr>
        <w:t>44</w:t>
      </w:r>
      <w:r>
        <w:t xml:space="preserve">(3), 473–486. </w:t>
      </w:r>
      <w:hyperlink r:id="rId46">
        <w:r>
          <w:rPr>
            <w:rStyle w:val="Hyperlink"/>
          </w:rPr>
          <w:t>https://doi.org/10.1111/j.1744-6570.1991.tb02401.x</w:t>
        </w:r>
      </w:hyperlink>
    </w:p>
    <w:p w14:paraId="7B9E89BB" w14:textId="77777777" w:rsidR="00683E57" w:rsidRDefault="00F17784" w:rsidP="00CD7CC1">
      <w:pPr>
        <w:pStyle w:val="Bibliography"/>
        <w:spacing w:after="0"/>
      </w:pPr>
      <w:bookmarkStart w:id="53" w:name="ref-Osborne2004"/>
      <w:bookmarkEnd w:id="52"/>
      <w:r>
        <w:t xml:space="preserve">Osborne, J. W., &amp; Overbay, A. (2004). The </w:t>
      </w:r>
      <w:r>
        <w:t xml:space="preserve">power of outliers (and why researchers should always check for them). </w:t>
      </w:r>
      <w:r>
        <w:rPr>
          <w:i/>
        </w:rPr>
        <w:t>Practical Assessment, Research &amp; Evaluation</w:t>
      </w:r>
      <w:r>
        <w:t xml:space="preserve">, </w:t>
      </w:r>
      <w:r>
        <w:rPr>
          <w:i/>
        </w:rPr>
        <w:t>9</w:t>
      </w:r>
      <w:r>
        <w:t>(6), 1–12.</w:t>
      </w:r>
    </w:p>
    <w:p w14:paraId="0C16C61F" w14:textId="77777777" w:rsidR="00683E57" w:rsidRDefault="00F17784" w:rsidP="00CD7CC1">
      <w:pPr>
        <w:pStyle w:val="Bibliography"/>
        <w:spacing w:after="0"/>
      </w:pPr>
      <w:bookmarkStart w:id="54" w:name="ref-Pashler2012a"/>
      <w:bookmarkEnd w:id="53"/>
      <w:r>
        <w:t xml:space="preserve">Pashler, H., &amp; Wagenmakers, E. (2012). Editors’ introduction to the special section on replicability in psychological science. </w:t>
      </w:r>
      <w:r>
        <w:rPr>
          <w:i/>
        </w:rPr>
        <w:t>Pe</w:t>
      </w:r>
      <w:r>
        <w:rPr>
          <w:i/>
        </w:rPr>
        <w:t>rspectives on Psychological Science</w:t>
      </w:r>
      <w:r>
        <w:t xml:space="preserve">, </w:t>
      </w:r>
      <w:r>
        <w:rPr>
          <w:i/>
        </w:rPr>
        <w:t>7</w:t>
      </w:r>
      <w:r>
        <w:t xml:space="preserve">(6), 528–530. </w:t>
      </w:r>
      <w:hyperlink r:id="rId47">
        <w:r>
          <w:rPr>
            <w:rStyle w:val="Hyperlink"/>
          </w:rPr>
          <w:t>https://doi.org/10.1177/1745691612465253</w:t>
        </w:r>
      </w:hyperlink>
    </w:p>
    <w:p w14:paraId="60BB380D" w14:textId="77777777" w:rsidR="00683E57" w:rsidRDefault="00F17784" w:rsidP="00CD7CC1">
      <w:pPr>
        <w:pStyle w:val="Bibliography"/>
        <w:spacing w:after="0"/>
      </w:pPr>
      <w:bookmarkStart w:id="55" w:name="ref-Pinheiro2017"/>
      <w:bookmarkEnd w:id="54"/>
      <w:r>
        <w:t xml:space="preserve">Pinheiro, J., Bates, D., Debroy, S., Sarkar, D., &amp; R Core Team. (2017). nlme: Linear and nonlinear mixed effects models. Retrieved from </w:t>
      </w:r>
      <w:hyperlink r:id="rId48">
        <w:r>
          <w:rPr>
            <w:rStyle w:val="Hyperlink"/>
          </w:rPr>
          <w:t>https://cran.r-project.org/package=nlme</w:t>
        </w:r>
      </w:hyperlink>
    </w:p>
    <w:p w14:paraId="09622BAF" w14:textId="77777777" w:rsidR="00683E57" w:rsidRDefault="00F17784" w:rsidP="00CD7CC1">
      <w:pPr>
        <w:pStyle w:val="Bibliography"/>
        <w:spacing w:after="0"/>
      </w:pPr>
      <w:bookmarkStart w:id="56" w:name="ref-jamovi2018"/>
      <w:bookmarkEnd w:id="55"/>
      <w:r>
        <w:t>project, J. (2018). j</w:t>
      </w:r>
      <w:r>
        <w:t xml:space="preserve">amovi (Version 0.8)[Computer software]. Retrieved from </w:t>
      </w:r>
      <w:hyperlink r:id="rId49">
        <w:r>
          <w:rPr>
            <w:rStyle w:val="Hyperlink"/>
          </w:rPr>
          <w:t>https://www.jamovi.org</w:t>
        </w:r>
      </w:hyperlink>
    </w:p>
    <w:p w14:paraId="16328DB4" w14:textId="77777777" w:rsidR="00683E57" w:rsidRDefault="00F17784" w:rsidP="00CD7CC1">
      <w:pPr>
        <w:pStyle w:val="Bibliography"/>
        <w:spacing w:after="0"/>
      </w:pPr>
      <w:bookmarkStart w:id="57" w:name="ref-Simmons2011"/>
      <w:bookmarkEnd w:id="56"/>
      <w:r>
        <w:lastRenderedPageBreak/>
        <w:t>Simmons, J. P., Nelson, L. D., &amp; Simonsohn, U. (2011). False-positive psychology: Undisclosed flexibility in data collection and analysi</w:t>
      </w:r>
      <w:r>
        <w:t xml:space="preserve">s allows presenting anything as significant. </w:t>
      </w:r>
      <w:r>
        <w:rPr>
          <w:i/>
        </w:rPr>
        <w:t>Psychological Science</w:t>
      </w:r>
      <w:r>
        <w:t xml:space="preserve">, </w:t>
      </w:r>
      <w:r>
        <w:rPr>
          <w:i/>
        </w:rPr>
        <w:t>22</w:t>
      </w:r>
      <w:r>
        <w:t xml:space="preserve">(11), 1359–1366. </w:t>
      </w:r>
      <w:hyperlink r:id="rId50">
        <w:r>
          <w:rPr>
            <w:rStyle w:val="Hyperlink"/>
          </w:rPr>
          <w:t>https://doi.org/10.1177/0956797611417632</w:t>
        </w:r>
      </w:hyperlink>
    </w:p>
    <w:p w14:paraId="2C72DD8D" w14:textId="77777777" w:rsidR="00683E57" w:rsidRDefault="00F17784" w:rsidP="00CD7CC1">
      <w:pPr>
        <w:pStyle w:val="Bibliography"/>
        <w:spacing w:after="0"/>
      </w:pPr>
      <w:bookmarkStart w:id="58" w:name="ref-Simonsohn2013"/>
      <w:bookmarkEnd w:id="57"/>
      <w:r>
        <w:t>Simonsohn, U. (2013). Just post it: The lesson from two cases of fab</w:t>
      </w:r>
      <w:r>
        <w:t xml:space="preserve">ricated data detected by statistics alone. </w:t>
      </w:r>
      <w:r>
        <w:rPr>
          <w:i/>
        </w:rPr>
        <w:t>Psychological Science</w:t>
      </w:r>
      <w:r>
        <w:t xml:space="preserve">, </w:t>
      </w:r>
      <w:r>
        <w:rPr>
          <w:i/>
        </w:rPr>
        <w:t>24</w:t>
      </w:r>
      <w:r>
        <w:t xml:space="preserve">(10), 1875–1888. </w:t>
      </w:r>
      <w:hyperlink r:id="rId51">
        <w:r>
          <w:rPr>
            <w:rStyle w:val="Hyperlink"/>
          </w:rPr>
          <w:t>https://doi.org/10.1177/0956797613480366</w:t>
        </w:r>
      </w:hyperlink>
    </w:p>
    <w:p w14:paraId="4DAA35AD" w14:textId="77777777" w:rsidR="00683E57" w:rsidRDefault="00F17784" w:rsidP="00CD7CC1">
      <w:pPr>
        <w:pStyle w:val="Bibliography"/>
        <w:spacing w:after="0"/>
      </w:pPr>
      <w:bookmarkStart w:id="59" w:name="ref-Stevens1984"/>
      <w:bookmarkEnd w:id="58"/>
      <w:r>
        <w:t>Stevens, J. P. (1984). Outliers and influential data points in regress</w:t>
      </w:r>
      <w:r>
        <w:t xml:space="preserve">ion analysis. </w:t>
      </w:r>
      <w:r>
        <w:rPr>
          <w:i/>
        </w:rPr>
        <w:t>Psychological Bulletin</w:t>
      </w:r>
      <w:r>
        <w:t xml:space="preserve">, </w:t>
      </w:r>
      <w:r>
        <w:rPr>
          <w:i/>
        </w:rPr>
        <w:t>95</w:t>
      </w:r>
      <w:r>
        <w:t xml:space="preserve">(2), 334–344. </w:t>
      </w:r>
      <w:hyperlink r:id="rId52">
        <w:r>
          <w:rPr>
            <w:rStyle w:val="Hyperlink"/>
          </w:rPr>
          <w:t>https://doi.org/10.1037/0033-2909.95.2.334</w:t>
        </w:r>
      </w:hyperlink>
    </w:p>
    <w:p w14:paraId="15DA0451" w14:textId="77777777" w:rsidR="00683E57" w:rsidRDefault="00F17784" w:rsidP="00CD7CC1">
      <w:pPr>
        <w:pStyle w:val="Bibliography"/>
        <w:spacing w:after="0"/>
      </w:pPr>
      <w:bookmarkStart w:id="60" w:name="ref-Tabachnick2012"/>
      <w:bookmarkEnd w:id="59"/>
      <w:r>
        <w:t xml:space="preserve">Tabachnick, B. G., &amp; Fidell, L. S. (2012). </w:t>
      </w:r>
      <w:r>
        <w:rPr>
          <w:i/>
        </w:rPr>
        <w:t>Using multivariate statistics</w:t>
      </w:r>
      <w:r>
        <w:t xml:space="preserve"> (Sixth). Boston, MA: Pea</w:t>
      </w:r>
      <w:r>
        <w:t>rson.</w:t>
      </w:r>
    </w:p>
    <w:p w14:paraId="67E4626D" w14:textId="77777777" w:rsidR="00683E57" w:rsidRDefault="00F17784" w:rsidP="00CD7CC1">
      <w:pPr>
        <w:pStyle w:val="Bibliography"/>
        <w:spacing w:after="0"/>
      </w:pPr>
      <w:bookmarkStart w:id="61" w:name="ref-Valentine2017"/>
      <w:bookmarkEnd w:id="60"/>
      <w:r>
        <w:t xml:space="preserve">Valentine, K. D., Buchanan, E. M., Scofield, J. E., &amp; Beauchamp, M. T. (2019). Beyond p values: utilizing multiple methods to evaluate evidence. </w:t>
      </w:r>
      <w:r>
        <w:rPr>
          <w:i/>
        </w:rPr>
        <w:t>Behaviormetrika</w:t>
      </w:r>
      <w:r>
        <w:t xml:space="preserve">, 1–29. </w:t>
      </w:r>
      <w:hyperlink r:id="rId53">
        <w:r>
          <w:rPr>
            <w:rStyle w:val="Hyperlink"/>
          </w:rPr>
          <w:t>https://doi.org/10.1</w:t>
        </w:r>
        <w:r>
          <w:rPr>
            <w:rStyle w:val="Hyperlink"/>
          </w:rPr>
          <w:t>007/s41237-019-00078-4</w:t>
        </w:r>
      </w:hyperlink>
    </w:p>
    <w:p w14:paraId="3FA0E8FB" w14:textId="77777777" w:rsidR="00683E57" w:rsidRDefault="00F17784" w:rsidP="00CD7CC1">
      <w:pPr>
        <w:pStyle w:val="Bibliography"/>
        <w:spacing w:after="0"/>
      </w:pPr>
      <w:bookmarkStart w:id="62" w:name="ref-VanElk2015"/>
      <w:bookmarkEnd w:id="61"/>
      <w:r>
        <w:t xml:space="preserve">Van Elk, M., Matzke, D., Gronau, Q. F., Guan, M., Vandekerckhove, J., &amp; Wagenmakers, E.-J. (2015). Meta-analyses are no substitute for registered replications: A skeptical perspective on religious priming. </w:t>
      </w:r>
      <w:r>
        <w:rPr>
          <w:i/>
        </w:rPr>
        <w:t>Frontiers in Psychology</w:t>
      </w:r>
      <w:r>
        <w:t xml:space="preserve">, </w:t>
      </w:r>
      <w:r>
        <w:rPr>
          <w:i/>
        </w:rPr>
        <w:t>6</w:t>
      </w:r>
      <w:r>
        <w:t>,</w:t>
      </w:r>
      <w:r>
        <w:t xml:space="preserve"> 1365. </w:t>
      </w:r>
      <w:hyperlink r:id="rId54">
        <w:r>
          <w:rPr>
            <w:rStyle w:val="Hyperlink"/>
          </w:rPr>
          <w:t>https://doi.org/10.3389/fpsyg.2015.01365</w:t>
        </w:r>
      </w:hyperlink>
    </w:p>
    <w:p w14:paraId="1B16C8EA" w14:textId="77777777" w:rsidR="00683E57" w:rsidRDefault="00F17784" w:rsidP="00CD7CC1">
      <w:pPr>
        <w:pStyle w:val="Bibliography"/>
        <w:spacing w:after="0"/>
      </w:pPr>
      <w:bookmarkStart w:id="63" w:name="ref-Wagenmakers2011a"/>
      <w:bookmarkEnd w:id="62"/>
      <w:r>
        <w:t xml:space="preserve">Wagenmakers, E.-J., Wetzels, R., Borsboom, D., &amp; Maas, H. L. J. van der. (2011). Why psychologists must change the way they analyze their data: The </w:t>
      </w:r>
      <w:r>
        <w:t xml:space="preserve">case of psi: Comment on Bem (2011). </w:t>
      </w:r>
      <w:r>
        <w:rPr>
          <w:i/>
        </w:rPr>
        <w:t>Journal of Personality and Social Psychology</w:t>
      </w:r>
      <w:r>
        <w:t xml:space="preserve">, </w:t>
      </w:r>
      <w:r>
        <w:rPr>
          <w:i/>
        </w:rPr>
        <w:t>100</w:t>
      </w:r>
      <w:r>
        <w:t xml:space="preserve">(3), 426–432. </w:t>
      </w:r>
      <w:hyperlink r:id="rId55">
        <w:r>
          <w:rPr>
            <w:rStyle w:val="Hyperlink"/>
          </w:rPr>
          <w:t>https://doi.org/10.1037/a0022790</w:t>
        </w:r>
      </w:hyperlink>
    </w:p>
    <w:p w14:paraId="542689C8" w14:textId="77777777" w:rsidR="00683E57" w:rsidRDefault="00F17784" w:rsidP="00CD7CC1">
      <w:pPr>
        <w:pStyle w:val="Bibliography"/>
        <w:spacing w:after="0"/>
      </w:pPr>
      <w:bookmarkStart w:id="64" w:name="ref-Yuan2001"/>
      <w:bookmarkEnd w:id="63"/>
      <w:r>
        <w:lastRenderedPageBreak/>
        <w:t>Yuan, K. H., &amp; Bentler, P. M. (2001). Effect of outliers on estimators a</w:t>
      </w:r>
      <w:r>
        <w:t xml:space="preserve">nd tests in covariance structure analysis. </w:t>
      </w:r>
      <w:r>
        <w:rPr>
          <w:i/>
        </w:rPr>
        <w:t>British Journal of Mathematical and Statistical Psychology</w:t>
      </w:r>
      <w:r>
        <w:t xml:space="preserve">, </w:t>
      </w:r>
      <w:r>
        <w:rPr>
          <w:i/>
        </w:rPr>
        <w:t>54</w:t>
      </w:r>
      <w:r>
        <w:t xml:space="preserve">(1), 161–175. </w:t>
      </w:r>
      <w:hyperlink r:id="rId56">
        <w:r>
          <w:rPr>
            <w:rStyle w:val="Hyperlink"/>
          </w:rPr>
          <w:t>https://doi.org/10.1348/000711001159366</w:t>
        </w:r>
      </w:hyperlink>
    </w:p>
    <w:p w14:paraId="65809026" w14:textId="77777777" w:rsidR="00683E57" w:rsidRDefault="00F17784" w:rsidP="00CD7CC1">
      <w:pPr>
        <w:pStyle w:val="Bibliography"/>
        <w:spacing w:after="0"/>
      </w:pPr>
      <w:bookmarkStart w:id="65" w:name="ref-Zimmerman1994"/>
      <w:bookmarkEnd w:id="64"/>
      <w:r>
        <w:t>Zimmerman, D. W. (1994). A note on the</w:t>
      </w:r>
      <w:r>
        <w:t xml:space="preserve"> influence of outliers on parametric and nonparametric tests. </w:t>
      </w:r>
      <w:r>
        <w:rPr>
          <w:i/>
        </w:rPr>
        <w:t>The Journal of General Psychology</w:t>
      </w:r>
      <w:r>
        <w:t xml:space="preserve">, </w:t>
      </w:r>
      <w:r>
        <w:rPr>
          <w:i/>
        </w:rPr>
        <w:t>121</w:t>
      </w:r>
      <w:r>
        <w:t>(4), 391–401.</w:t>
      </w:r>
      <w:bookmarkEnd w:id="16"/>
      <w:bookmarkEnd w:id="65"/>
    </w:p>
    <w:sectPr w:rsidR="00683E57" w:rsidSect="00CB20D0">
      <w:headerReference w:type="even" r:id="rId57"/>
      <w:headerReference w:type="default" r:id="rId58"/>
      <w:headerReference w:type="first" r:id="rId5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C08E4" w14:textId="77777777" w:rsidR="00F17784" w:rsidRDefault="00F17784">
      <w:pPr>
        <w:spacing w:before="0" w:after="0" w:line="240" w:lineRule="auto"/>
      </w:pPr>
      <w:r>
        <w:separator/>
      </w:r>
    </w:p>
  </w:endnote>
  <w:endnote w:type="continuationSeparator" w:id="0">
    <w:p w14:paraId="2308C215" w14:textId="77777777" w:rsidR="00F17784" w:rsidRDefault="00F177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8ECE4" w14:textId="77777777" w:rsidR="00F17784" w:rsidRDefault="00F17784">
      <w:r>
        <w:separator/>
      </w:r>
    </w:p>
  </w:footnote>
  <w:footnote w:type="continuationSeparator" w:id="0">
    <w:p w14:paraId="3FBCBA96" w14:textId="77777777" w:rsidR="00F17784" w:rsidRDefault="00F1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505D2D7A" w14:textId="77777777" w:rsidR="00AF36ED" w:rsidRDefault="00F1778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67CA9" w14:textId="77777777" w:rsidR="00AF36ED" w:rsidRDefault="00F1778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88FCAE0" w14:textId="77777777" w:rsidR="00AF36ED" w:rsidRDefault="00F1778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66EF75" w14:textId="77777777" w:rsidR="00AF36ED" w:rsidRPr="00A05772" w:rsidRDefault="00F17784" w:rsidP="00572FF5">
    <w:pPr>
      <w:pStyle w:val="Header"/>
      <w:ind w:right="357"/>
    </w:pPr>
    <w:r>
      <w:t>OUTLIER REPORTING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0DC95018" w14:textId="77777777" w:rsidR="00DA0F6A" w:rsidRDefault="00F17784"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2627C" w14:textId="77777777" w:rsidR="00DA0F6A" w:rsidRDefault="00F17784" w:rsidP="00DA0F6A">
    <w:pPr>
      <w:pStyle w:val="Header"/>
      <w:ind w:right="360"/>
    </w:pPr>
    <w:r>
      <w:t>Running head: OUTLIER REPORTING</w:t>
    </w:r>
  </w:p>
  <w:p w14:paraId="7F5930F8" w14:textId="77777777" w:rsidR="00CB20D0" w:rsidRPr="00A05772" w:rsidRDefault="00F1778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3E57"/>
    <w:rsid w:val="00707193"/>
    <w:rsid w:val="00784D58"/>
    <w:rsid w:val="008D6863"/>
    <w:rsid w:val="00B86B75"/>
    <w:rsid w:val="00BC48D5"/>
    <w:rsid w:val="00C36279"/>
    <w:rsid w:val="00CD7CC1"/>
    <w:rsid w:val="00E315A3"/>
    <w:rsid w:val="00F177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905BC"/>
  <w15:docId w15:val="{A1B2B2C7-D1E6-4745-9229-86820639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doi.org/10.3758/s13428-018-1035-6" TargetMode="External"/><Relationship Id="rId26" Type="http://schemas.openxmlformats.org/officeDocument/2006/relationships/hyperlink" Target="https://doi.org/10.1177/1948550615612150" TargetMode="External"/><Relationship Id="rId39" Type="http://schemas.openxmlformats.org/officeDocument/2006/relationships/hyperlink" Target="https://doi.org/10.1101/187245" TargetMode="External"/><Relationship Id="rId21" Type="http://schemas.openxmlformats.org/officeDocument/2006/relationships/hyperlink" Target="https://doi.org/10.2307/1268187" TargetMode="External"/><Relationship Id="rId34" Type="http://schemas.openxmlformats.org/officeDocument/2006/relationships/hyperlink" Target="https://doi.org/10.3389/fpsyg.2013.00863" TargetMode="External"/><Relationship Id="rId42" Type="http://schemas.openxmlformats.org/officeDocument/2006/relationships/hyperlink" Target="https://doi.org/10.2307/1403805" TargetMode="External"/><Relationship Id="rId47" Type="http://schemas.openxmlformats.org/officeDocument/2006/relationships/hyperlink" Target="https://doi.org/10.1177/1745691612465253" TargetMode="External"/><Relationship Id="rId50" Type="http://schemas.openxmlformats.org/officeDocument/2006/relationships/hyperlink" Target="https://doi.org/10.1177/0956797611417632" TargetMode="External"/><Relationship Id="rId55" Type="http://schemas.openxmlformats.org/officeDocument/2006/relationships/hyperlink" Target="https://doi.org/10.1037/a0022790" TargetMode="External"/><Relationship Id="rId7" Type="http://schemas.openxmlformats.org/officeDocument/2006/relationships/hyperlink" Target="mailto:kvalentine2@mgh.harvard.edu" TargetMode="External"/><Relationship Id="rId2" Type="http://schemas.openxmlformats.org/officeDocument/2006/relationships/styles" Target="styles.xml"/><Relationship Id="rId16" Type="http://schemas.openxmlformats.org/officeDocument/2006/relationships/hyperlink" Target="https://doi.org/10.1038/s41562-017-0189-z" TargetMode="External"/><Relationship Id="rId29" Type="http://schemas.openxmlformats.org/officeDocument/2006/relationships/hyperlink" Target="https://crystalprisonzone.blogspot.com/2019/06/comment-on-chang-bushman-2019-effects.html" TargetMode="External"/><Relationship Id="rId11" Type="http://schemas.openxmlformats.org/officeDocument/2006/relationships/hyperlink" Target="https://osf.io/kgnva/wiki/home/" TargetMode="External"/><Relationship Id="rId24" Type="http://schemas.openxmlformats.org/officeDocument/2006/relationships/hyperlink" Target="https://doi.org/10.1371/journal.pone.0149794" TargetMode="External"/><Relationship Id="rId32" Type="http://schemas.openxmlformats.org/officeDocument/2006/relationships/hyperlink" Target="https://jasp-stats.org/" TargetMode="External"/><Relationship Id="rId37" Type="http://schemas.openxmlformats.org/officeDocument/2006/relationships/hyperlink" Target="https://doi.org/10.1080/17470218.2013.863371" TargetMode="External"/><Relationship Id="rId40" Type="http://schemas.openxmlformats.org/officeDocument/2006/relationships/hyperlink" Target="https://doi.org/10.1037/a0039400" TargetMode="External"/><Relationship Id="rId45" Type="http://schemas.openxmlformats.org/officeDocument/2006/relationships/hyperlink" Target="https://doi.org/10.1126/science.aac4716" TargetMode="External"/><Relationship Id="rId53" Type="http://schemas.openxmlformats.org/officeDocument/2006/relationships/hyperlink" Target="https://doi.org/10.1007/s41237-019-00078-4"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93/AJCP/AQX080" TargetMode="External"/><Relationship Id="rId14" Type="http://schemas.openxmlformats.org/officeDocument/2006/relationships/hyperlink" Target="https://doi.org/10.1371/journal.pone.0103360" TargetMode="External"/><Relationship Id="rId22" Type="http://schemas.openxmlformats.org/officeDocument/2006/relationships/hyperlink" Target="https://doi.org/10.1111/j.1745-6924.2008.00079.x" TargetMode="External"/><Relationship Id="rId27" Type="http://schemas.openxmlformats.org/officeDocument/2006/relationships/hyperlink" Target="https://doi.org/10.1198/004017005000000661" TargetMode="External"/><Relationship Id="rId30" Type="http://schemas.openxmlformats.org/officeDocument/2006/relationships/hyperlink" Target="https://doi.org/10.1007/s10462-004-4304-y" TargetMode="External"/><Relationship Id="rId35" Type="http://schemas.openxmlformats.org/officeDocument/2006/relationships/hyperlink" Target="https://doi.org/10.1038/s41562-018-0311-x" TargetMode="External"/><Relationship Id="rId43" Type="http://schemas.openxmlformats.org/officeDocument/2006/relationships/hyperlink" Target="https://doi.org/10.1146/annurev-psych-122216-011836" TargetMode="External"/><Relationship Id="rId48" Type="http://schemas.openxmlformats.org/officeDocument/2006/relationships/hyperlink" Target="https://cran.r-project.org/package=nlme" TargetMode="External"/><Relationship Id="rId56" Type="http://schemas.openxmlformats.org/officeDocument/2006/relationships/hyperlink" Target="https://doi.org/10.1348/000711001159366" TargetMode="External"/><Relationship Id="rId8" Type="http://schemas.openxmlformats.org/officeDocument/2006/relationships/hyperlink" Target="https://osf.io/52mqw/" TargetMode="External"/><Relationship Id="rId51" Type="http://schemas.openxmlformats.org/officeDocument/2006/relationships/hyperlink" Target="https://doi.org/10.1177/0956797613480366" TargetMode="External"/><Relationship Id="rId3" Type="http://schemas.openxmlformats.org/officeDocument/2006/relationships/settings" Target="settings.xml"/><Relationship Id="rId12" Type="http://schemas.openxmlformats.org/officeDocument/2006/relationships/hyperlink" Target="https://doi.org/10.1002/per.1919" TargetMode="External"/><Relationship Id="rId17" Type="http://schemas.openxmlformats.org/officeDocument/2006/relationships/hyperlink" Target="https://doi.org/10.1093/biomet/48.1-2.3" TargetMode="External"/><Relationship Id="rId25" Type="http://schemas.openxmlformats.org/officeDocument/2006/relationships/hyperlink" Target="https://doi.org/10.1037/a0024445" TargetMode="External"/><Relationship Id="rId33" Type="http://schemas.openxmlformats.org/officeDocument/2006/relationships/hyperlink" Target="https://doi.org/10.1027/1864-9335/a000178" TargetMode="External"/><Relationship Id="rId38" Type="http://schemas.openxmlformats.org/officeDocument/2006/relationships/hyperlink" Target="https://doi.org/10.1177/0956797615616374" TargetMode="External"/><Relationship Id="rId46" Type="http://schemas.openxmlformats.org/officeDocument/2006/relationships/hyperlink" Target="https://doi.org/10.1111/j.1744-6570.1991.tb02401.x" TargetMode="External"/><Relationship Id="rId59" Type="http://schemas.openxmlformats.org/officeDocument/2006/relationships/header" Target="header3.xml"/><Relationship Id="rId20" Type="http://schemas.openxmlformats.org/officeDocument/2006/relationships/hyperlink" Target="https://doi.org/10.1001/jamanetworkopen.2019.4319" TargetMode="External"/><Relationship Id="rId41" Type="http://schemas.openxmlformats.org/officeDocument/2006/relationships/hyperlink" Target="https://doi.org/10.1126/science.1245317" TargetMode="External"/><Relationship Id="rId54" Type="http://schemas.openxmlformats.org/officeDocument/2006/relationships/hyperlink" Target="https://doi.org/10.3389/fpsyg.2015.0136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268548" TargetMode="External"/><Relationship Id="rId23" Type="http://schemas.openxmlformats.org/officeDocument/2006/relationships/hyperlink" Target="https://doi.org/10.1371/journal.pone.0029081" TargetMode="External"/><Relationship Id="rId28" Type="http://schemas.openxmlformats.org/officeDocument/2006/relationships/hyperlink" Target="https://doi.org/10.1016/j.socec.2004.09.033" TargetMode="External"/><Relationship Id="rId36" Type="http://schemas.openxmlformats.org/officeDocument/2006/relationships/hyperlink" Target="https://doi.org/10.1177/1745691613491437" TargetMode="External"/><Relationship Id="rId49" Type="http://schemas.openxmlformats.org/officeDocument/2006/relationships/hyperlink" Target="https://www.jamovi.org" TargetMode="External"/><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doi.org/10.1371/journal.pmed.0020124" TargetMode="External"/><Relationship Id="rId44" Type="http://schemas.openxmlformats.org/officeDocument/2006/relationships/hyperlink" Target="https://doi.org/10.1177/1745691612459058" TargetMode="External"/><Relationship Id="rId52" Type="http://schemas.openxmlformats.org/officeDocument/2006/relationships/hyperlink" Target="https://doi.org/10.1037/0033-2909.95.2.33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6753</Words>
  <Characters>38497</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45160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psychologists increased reporting of outliers in response to the reproducibility crisis?</dc:title>
  <dc:creator/>
  <cp:keywords/>
  <cp:lastModifiedBy>Erin M. Buchanan</cp:lastModifiedBy>
  <cp:revision>3</cp:revision>
  <dcterms:created xsi:type="dcterms:W3CDTF">2021-02-11T22:37:00Z</dcterms:created>
  <dcterms:modified xsi:type="dcterms:W3CDTF">2021-02-11T22:42:00Z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K. D. Valentine is a Postdoctoral Research Fellow at the Health Decision Sciences Center at Massachusetts General Hospital. Erin M. Buchanan is an Professor of Cognitive Analytics at Harrisburg University of Science and Technology. Arielle Cunningham, Tab</vt:lpwstr>
  </property>
  <property fmtid="{D5CDD505-2E9C-101B-9397-08002B2CF9AE}" pid="4" name="bibliography">
    <vt:lpwstr>outliers.bib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papaja::apa6_docx</vt:lpwstr>
  </property>
  <property fmtid="{D5CDD505-2E9C-101B-9397-08002B2CF9AE}" pid="16" name="shorttitle">
    <vt:lpwstr>Outlier reporting</vt:lpwstr>
  </property>
  <property fmtid="{D5CDD505-2E9C-101B-9397-08002B2CF9AE}" pid="17" name="tablelist">
    <vt:lpwstr>no</vt:lpwstr>
  </property>
</Properties>
</file>