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AFEE8" w14:textId="77777777" w:rsidR="008F197F" w:rsidRDefault="008F197F" w:rsidP="008F197F">
      <w:pPr>
        <w:jc w:val="center"/>
      </w:pPr>
    </w:p>
    <w:p w14:paraId="7A61CD30" w14:textId="77777777" w:rsidR="008F197F" w:rsidRDefault="008F197F" w:rsidP="008F197F">
      <w:pPr>
        <w:jc w:val="center"/>
      </w:pPr>
    </w:p>
    <w:p w14:paraId="1509B283" w14:textId="77777777" w:rsidR="008F197F" w:rsidRDefault="008F197F" w:rsidP="008F197F">
      <w:pPr>
        <w:jc w:val="center"/>
      </w:pPr>
    </w:p>
    <w:p w14:paraId="3011F9AC" w14:textId="77777777" w:rsidR="008F197F" w:rsidRDefault="008F197F" w:rsidP="008F197F">
      <w:pPr>
        <w:jc w:val="center"/>
      </w:pPr>
    </w:p>
    <w:p w14:paraId="3CA40A29" w14:textId="77777777" w:rsidR="008F197F" w:rsidRDefault="008F197F" w:rsidP="008F197F">
      <w:pPr>
        <w:jc w:val="center"/>
      </w:pPr>
    </w:p>
    <w:p w14:paraId="7C269617" w14:textId="77777777" w:rsidR="008F197F" w:rsidRDefault="008F197F" w:rsidP="008F197F">
      <w:pPr>
        <w:jc w:val="center"/>
      </w:pPr>
    </w:p>
    <w:p w14:paraId="6F58F055" w14:textId="77777777" w:rsidR="008F197F" w:rsidRDefault="008F197F" w:rsidP="008F197F">
      <w:pPr>
        <w:jc w:val="center"/>
      </w:pPr>
    </w:p>
    <w:p w14:paraId="4208D002" w14:textId="77777777" w:rsidR="008F197F" w:rsidRDefault="008F197F" w:rsidP="008F197F">
      <w:pPr>
        <w:jc w:val="center"/>
      </w:pPr>
    </w:p>
    <w:p w14:paraId="6720C28D" w14:textId="77777777" w:rsidR="00BD5D6E" w:rsidRDefault="00563971" w:rsidP="008F197F">
      <w:pPr>
        <w:jc w:val="center"/>
      </w:pPr>
      <w:r>
        <w:t>Focus on the Target: The Role of Attentional Focus in Decisions about War and Peace</w:t>
      </w:r>
    </w:p>
    <w:p w14:paraId="6ED495A7" w14:textId="77777777" w:rsidR="008F197F" w:rsidRDefault="008F197F" w:rsidP="008F197F">
      <w:pPr>
        <w:jc w:val="center"/>
      </w:pPr>
      <w:r>
        <w:t>Kayla N. Jordan</w:t>
      </w:r>
    </w:p>
    <w:p w14:paraId="6C7E203A" w14:textId="77777777" w:rsidR="008F197F" w:rsidRDefault="008F197F" w:rsidP="008F197F">
      <w:pPr>
        <w:jc w:val="center"/>
      </w:pPr>
      <w:r>
        <w:t>Erin M. Buchanan</w:t>
      </w:r>
    </w:p>
    <w:p w14:paraId="3DA734F3" w14:textId="77777777" w:rsidR="008F197F" w:rsidRDefault="008F197F" w:rsidP="008F197F">
      <w:pPr>
        <w:jc w:val="center"/>
      </w:pPr>
      <w:r>
        <w:t xml:space="preserve">Missouri State </w:t>
      </w:r>
      <w:commentRangeStart w:id="0"/>
      <w:r>
        <w:t>University</w:t>
      </w:r>
      <w:commentRangeEnd w:id="0"/>
      <w:r w:rsidR="00724263">
        <w:rPr>
          <w:rStyle w:val="CommentReference"/>
        </w:rPr>
        <w:commentReference w:id="0"/>
      </w:r>
      <w:r>
        <w:br w:type="page"/>
      </w:r>
    </w:p>
    <w:p w14:paraId="52A72D10" w14:textId="77777777" w:rsidR="00663072" w:rsidRDefault="00663072" w:rsidP="00663072">
      <w:pPr>
        <w:jc w:val="center"/>
      </w:pPr>
      <w:r>
        <w:lastRenderedPageBreak/>
        <w:t>Focus on the Target: The Role of Attentional Focus in Decisions about War and Peace</w:t>
      </w:r>
    </w:p>
    <w:p w14:paraId="72789008" w14:textId="6448D6D8" w:rsidR="00166247" w:rsidRDefault="005D1922" w:rsidP="004649D8">
      <w:pPr>
        <w:pStyle w:val="ListParagraph"/>
        <w:ind w:left="0"/>
      </w:pPr>
      <w:r>
        <w:rPr>
          <w:b/>
        </w:rPr>
        <w:tab/>
      </w:r>
      <w:r w:rsidR="00EA6357">
        <w:t xml:space="preserve"> </w:t>
      </w:r>
      <w:r w:rsidR="004261AA">
        <w:t xml:space="preserve">Words permeate the realm of intergroup relations. Whether slurs and hate speech are used to </w:t>
      </w:r>
      <w:r w:rsidR="00C07C6F">
        <w:t>derogate</w:t>
      </w:r>
      <w:r w:rsidR="004261AA">
        <w:t xml:space="preserve"> members of the outgroup or </w:t>
      </w:r>
      <w:r w:rsidR="000C7F12">
        <w:t xml:space="preserve">political myths used to unite the </w:t>
      </w:r>
      <w:proofErr w:type="spellStart"/>
      <w:r w:rsidR="000C7F12">
        <w:t>ingroup</w:t>
      </w:r>
      <w:proofErr w:type="spellEnd"/>
      <w:r w:rsidR="000C7F12">
        <w:t xml:space="preserve"> (</w:t>
      </w:r>
      <w:proofErr w:type="spellStart"/>
      <w:r w:rsidR="000C7F12">
        <w:t>Esch</w:t>
      </w:r>
      <w:proofErr w:type="spellEnd"/>
      <w:r w:rsidR="000C7F12">
        <w:t xml:space="preserve">, 2010; </w:t>
      </w:r>
      <w:proofErr w:type="spellStart"/>
      <w:r w:rsidR="000C7F12">
        <w:t>Meeus</w:t>
      </w:r>
      <w:proofErr w:type="spellEnd"/>
      <w:r w:rsidR="000C7F12">
        <w:t xml:space="preserve"> et al., 2009), </w:t>
      </w:r>
      <w:r w:rsidR="00E641DE">
        <w:t xml:space="preserve">words in the midst of intergroup conflict </w:t>
      </w:r>
      <w:r w:rsidR="00C322FF">
        <w:t>can escalate a situation to violence or help bring about peace.</w:t>
      </w:r>
      <w:r w:rsidR="002E4E8D">
        <w:t xml:space="preserve"> Words can also serve to justify the actions of one group against another group (</w:t>
      </w:r>
      <w:proofErr w:type="spellStart"/>
      <w:r w:rsidR="002E4E8D">
        <w:t>Burgarski</w:t>
      </w:r>
      <w:proofErr w:type="spellEnd"/>
      <w:r w:rsidR="002E4E8D">
        <w:t xml:space="preserve">, 2000; </w:t>
      </w:r>
      <w:proofErr w:type="spellStart"/>
      <w:r w:rsidR="002E4E8D">
        <w:t>Hogenraad</w:t>
      </w:r>
      <w:proofErr w:type="spellEnd"/>
      <w:r w:rsidR="002E4E8D">
        <w:t>, 2005).</w:t>
      </w:r>
      <w:r w:rsidR="0035499A">
        <w:t xml:space="preserve"> </w:t>
      </w:r>
      <w:r w:rsidR="00DD0AF9">
        <w:t>In the current study, we explore debates in the U.S. Congress regarding U.S. military involvement in Kosovo, Iraq, and Libya</w:t>
      </w:r>
      <w:r w:rsidR="00B3559F">
        <w:t xml:space="preserve"> to determine </w:t>
      </w:r>
      <w:r w:rsidR="00C07C6F">
        <w:t>whether or not</w:t>
      </w:r>
      <w:r w:rsidR="00B3559F">
        <w:t xml:space="preserve"> the language used in these debates predic</w:t>
      </w:r>
      <w:r w:rsidR="00C07C6F">
        <w:t>ted support for military action.</w:t>
      </w:r>
    </w:p>
    <w:p w14:paraId="163A7F37" w14:textId="77777777" w:rsidR="00EA6357" w:rsidRDefault="00166247" w:rsidP="004649D8">
      <w:pPr>
        <w:pStyle w:val="ListParagraph"/>
        <w:ind w:left="0"/>
      </w:pPr>
      <w:r>
        <w:tab/>
      </w:r>
      <w:r w:rsidR="00F835CA">
        <w:t xml:space="preserve"> </w:t>
      </w:r>
      <w:r w:rsidR="002E4E8D">
        <w:t xml:space="preserve"> </w:t>
      </w:r>
      <w:r w:rsidR="00724263">
        <w:rPr>
          <w:rStyle w:val="CommentReference"/>
        </w:rPr>
        <w:commentReference w:id="1"/>
      </w:r>
    </w:p>
    <w:p w14:paraId="5D2F21A4" w14:textId="77777777" w:rsidR="00663072" w:rsidRPr="00663072" w:rsidRDefault="00663072" w:rsidP="00F677F4">
      <w:pPr>
        <w:rPr>
          <w:b/>
        </w:rPr>
      </w:pPr>
      <w:r>
        <w:rPr>
          <w:b/>
        </w:rPr>
        <w:t>Language Analysis</w:t>
      </w:r>
    </w:p>
    <w:p w14:paraId="742A8769" w14:textId="070093CD" w:rsidR="00E84400" w:rsidRDefault="00663072" w:rsidP="00E84400">
      <w:r>
        <w:tab/>
      </w:r>
      <w:r w:rsidR="00E84400">
        <w:t>Discourse is the fusion of content and style words. Within any given sample of language, content words answer the question of what is being said, while style words answer the question</w:t>
      </w:r>
      <w:r w:rsidR="00C07C6F">
        <w:t xml:space="preserve"> of</w:t>
      </w:r>
      <w:r w:rsidR="00E84400">
        <w:t xml:space="preserve"> how it is being said. Content words include mostly nouns, verbs, and adjectives, and style words include mostly pronouns, prepositions, articles, conjunctions, negations, and quantifiers </w:t>
      </w:r>
      <w:r w:rsidR="002D6741">
        <w:fldChar w:fldCharType="begin"/>
      </w:r>
      <w:r w:rsidR="00E84400">
        <w:instrText xml:space="preserve"> ADDIN EN.CITE &lt;EndNote&gt;&lt;Cite&gt;&lt;Author&gt;Pennebaker&lt;/Author&gt;&lt;Year&gt;2011&lt;/Year&gt;&lt;RecNum&gt;596&lt;/RecNum&gt;&lt;DisplayText&gt;(Pennebaker, 2011)&lt;/DisplayText&gt;&lt;record&gt;&lt;rec-number&gt;596&lt;/rec-number&gt;&lt;foreign-keys&gt;&lt;key app="EN" db-id="r592swz5f0vp26erdz4500502t5sfwd20xd9" timestamp="1402674396"&gt;596&lt;/key&gt;&lt;key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2D6741">
        <w:fldChar w:fldCharType="separate"/>
      </w:r>
      <w:r w:rsidR="00E84400">
        <w:rPr>
          <w:noProof/>
        </w:rPr>
        <w:t>(Pennebaker, 2011)</w:t>
      </w:r>
      <w:r w:rsidR="002D6741">
        <w:fldChar w:fldCharType="end"/>
      </w:r>
      <w:r w:rsidR="00E84400">
        <w:t xml:space="preserve">. The Linguistic Inquiry and Word Count </w:t>
      </w:r>
      <w:r w:rsidR="002D6741">
        <w:fldChar w:fldCharType="begin"/>
      </w:r>
      <w:r w:rsidR="00E84400">
        <w:instrText xml:space="preserve"> ADDIN EN.CITE &lt;EndNote&gt;&lt;Cite&gt;&lt;Author&gt;Pennebaker&lt;/Author&gt;&lt;Year&gt;2007&lt;/Year&gt;&lt;RecNum&gt;623&lt;/RecNum&gt;&lt;Prefix&gt;LIWC`; &lt;/Prefix&gt;&lt;DisplayText&gt;(LIWC; Pennebaker, Booth, &amp;amp; Francis, 2007)&lt;/DisplayText&gt;&lt;record&gt;&lt;rec-number&gt;623&lt;/rec-number&gt;&lt;foreign-keys&gt;&lt;key app="EN" db-id="r592swz5f0vp26erdz4500502t5sfwd20xd9" timestamp="1402678330"&gt;623&lt;/key&gt;&lt;/foreign-keys&gt;&lt;ref-type name="Computer Program"&gt;9&lt;/ref-type&gt;&lt;contributors&gt;&lt;authors&gt;&lt;author&gt;Pennebaker, J. W.&lt;/author&gt;&lt;author&gt;Booth, R. J. &lt;/author&gt;&lt;author&gt;Francis, M. E.&lt;/author&gt;&lt;/authors&gt;&lt;/contributors&gt;&lt;titles&gt;&lt;title&gt;LIWC2007: Linguistic inquiry and word count&lt;/title&gt;&lt;/titles&gt;&lt;dates&gt;&lt;year&gt;2007&lt;/year&gt;&lt;/dates&gt;&lt;pub-location&gt;Austin, Texas&lt;/pub-location&gt;&lt;publisher&gt;liwc.net&lt;/publisher&gt;&lt;urls&gt;&lt;/urls&gt;&lt;/record&gt;&lt;/Cite&gt;&lt;/EndNote&gt;</w:instrText>
      </w:r>
      <w:r w:rsidR="002D6741">
        <w:fldChar w:fldCharType="separate"/>
      </w:r>
      <w:r w:rsidR="00E84400">
        <w:rPr>
          <w:noProof/>
        </w:rPr>
        <w:t>(LIWC; Pennebaker, Booth, &amp; Francis, 2007)</w:t>
      </w:r>
      <w:r w:rsidR="002D6741">
        <w:fldChar w:fldCharType="end"/>
      </w:r>
      <w:r w:rsidR="00E84400">
        <w:t xml:space="preserve"> is a program developed to summarize these words and others broken down into 82 language categories. Besides style words, the LIWC measures constructs </w:t>
      </w:r>
      <w:r w:rsidR="00C07C6F">
        <w:t>including</w:t>
      </w:r>
      <w:r w:rsidR="00E84400">
        <w:t xml:space="preserve">: a) cognitive mechanisms, </w:t>
      </w:r>
      <w:r w:rsidR="00C07C6F">
        <w:t>such as</w:t>
      </w:r>
      <w:r w:rsidR="00E84400">
        <w:t xml:space="preserve"> </w:t>
      </w:r>
      <w:r w:rsidR="00E84400" w:rsidRPr="003E4F47">
        <w:rPr>
          <w:i/>
        </w:rPr>
        <w:t>know</w:t>
      </w:r>
      <w:r w:rsidR="00E84400">
        <w:t xml:space="preserve">, </w:t>
      </w:r>
      <w:r w:rsidR="00E84400" w:rsidRPr="003E4F47">
        <w:rPr>
          <w:i/>
        </w:rPr>
        <w:t>because</w:t>
      </w:r>
      <w:r w:rsidR="00E84400">
        <w:t xml:space="preserve">, and </w:t>
      </w:r>
      <w:r w:rsidR="00E84400" w:rsidRPr="003E4F47">
        <w:rPr>
          <w:i/>
        </w:rPr>
        <w:t>none</w:t>
      </w:r>
      <w:r w:rsidR="00E84400">
        <w:t xml:space="preserve"> reflecting causation, exclusivity, and certainty, b) social and emotional words, which include words reflecting social processes and positive and negative emotion, c) relativity, such as </w:t>
      </w:r>
      <w:r w:rsidR="00E84400" w:rsidRPr="003E4F47">
        <w:rPr>
          <w:i/>
        </w:rPr>
        <w:t>go</w:t>
      </w:r>
      <w:r w:rsidR="00E84400">
        <w:t xml:space="preserve">, </w:t>
      </w:r>
      <w:r w:rsidR="00E84400" w:rsidRPr="003E4F47">
        <w:rPr>
          <w:i/>
        </w:rPr>
        <w:t>down</w:t>
      </w:r>
      <w:r w:rsidR="00E84400">
        <w:t xml:space="preserve">, and </w:t>
      </w:r>
      <w:r w:rsidR="00E84400" w:rsidRPr="003E4F47">
        <w:rPr>
          <w:i/>
        </w:rPr>
        <w:t>until</w:t>
      </w:r>
      <w:r w:rsidR="00E84400">
        <w:t xml:space="preserve"> reflecting motion, space, and time, d) and p</w:t>
      </w:r>
      <w:r w:rsidR="00C07C6F">
        <w:t>ersonal concerns, which include</w:t>
      </w:r>
      <w:r w:rsidR="00E84400">
        <w:t xml:space="preserve"> words reflecting achievement, money, death, and religion among others. </w:t>
      </w:r>
    </w:p>
    <w:p w14:paraId="1E99CA7F" w14:textId="6270936A" w:rsidR="00EA6357" w:rsidRDefault="00E84400" w:rsidP="00E84400">
      <w:pPr>
        <w:ind w:firstLine="720"/>
      </w:pPr>
      <w:r>
        <w:lastRenderedPageBreak/>
        <w:t xml:space="preserve">Discourse analysis has become a popular trend to understand psychological correlates tied to language. </w:t>
      </w:r>
      <w:r w:rsidR="002D6741">
        <w:fldChar w:fldCharType="begin"/>
      </w:r>
      <w:r>
        <w:instrText xml:space="preserve"> ADDIN EN.CITE &lt;EndNote&gt;&lt;Cite AuthorYear="1"&gt;&lt;Author&gt;Tausczik&lt;/Author&gt;&lt;Year&gt;2009&lt;/Year&gt;&lt;RecNum&gt;613&lt;/RecNum&gt;&lt;DisplayText&gt;Tausczik and Pennebaker (2009)&lt;/DisplayText&gt;&lt;record&gt;&lt;rec-number&gt;613&lt;/rec-number&gt;&lt;foreign-keys&gt;&lt;key app="EN" db-id="r592swz5f0vp26erdz4500502t5sfwd20xd9" timestamp="1402674416"&gt;613&lt;/key&gt;&lt;key app="ENWeb" db-id=""&gt;0&lt;/key&gt;&lt;/foreign-keys&gt;&lt;ref-type name="Journal Article"&gt;17&lt;/ref-type&gt;&lt;contributors&gt;&lt;authors&gt;&lt;author&gt;Tausczik, Y. R.&lt;/author&gt;&lt;author&gt;Pennebaker,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abbr-1&gt;JLSP&lt;/abbr-1&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2D6741">
        <w:fldChar w:fldCharType="separate"/>
      </w:r>
      <w:r>
        <w:rPr>
          <w:noProof/>
        </w:rPr>
        <w:t>Tausczik and Pennebaker (2009)</w:t>
      </w:r>
      <w:r w:rsidR="002D6741">
        <w:fldChar w:fldCharType="end"/>
      </w:r>
      <w:r>
        <w:t xml:space="preserve"> reviewed over </w:t>
      </w:r>
      <w:r w:rsidR="00C07C6F">
        <w:t>100</w:t>
      </w:r>
      <w:r>
        <w:t xml:space="preserve"> articles that used language as a basis for studying other constructs; specifically, these studies investigated how categories in the LIWC are related to psychological phenomena, such as attention, emotionality, dominance, and deception. </w:t>
      </w:r>
    </w:p>
    <w:p w14:paraId="0CFA2DA7" w14:textId="502E3308" w:rsidR="00663072" w:rsidRPr="00663072" w:rsidRDefault="00C07C6F" w:rsidP="00F677F4">
      <w:pPr>
        <w:rPr>
          <w:b/>
        </w:rPr>
      </w:pPr>
      <w:r>
        <w:rPr>
          <w:b/>
        </w:rPr>
        <w:t>A</w:t>
      </w:r>
      <w:r w:rsidR="00663072">
        <w:rPr>
          <w:b/>
        </w:rPr>
        <w:t>ttentional Focus</w:t>
      </w:r>
    </w:p>
    <w:p w14:paraId="74B60607" w14:textId="4A2F00C6" w:rsidR="000E6227" w:rsidRDefault="00F91EC4" w:rsidP="003D2C34">
      <w:pPr>
        <w:ind w:firstLine="720"/>
      </w:pPr>
      <w:r>
        <w:t xml:space="preserve">   </w:t>
      </w:r>
      <w:r w:rsidR="0075792F">
        <w:t xml:space="preserve">Just as </w:t>
      </w:r>
      <w:r>
        <w:t>a person’s gaze can illuminate where their attention is so</w:t>
      </w:r>
      <w:r w:rsidR="00C07C6F">
        <w:t xml:space="preserve"> </w:t>
      </w:r>
      <w:r>
        <w:t xml:space="preserve">can the words they use. </w:t>
      </w:r>
      <w:r w:rsidR="00AF3844">
        <w:t xml:space="preserve">Specifically, pronouns and verb tense can demonstrate attentional focus by </w:t>
      </w:r>
      <w:r w:rsidR="00C07C6F">
        <w:t>indicating</w:t>
      </w:r>
      <w:r w:rsidR="00AF3844">
        <w:t xml:space="preserve"> who or what someone is attending to in a situation and how they are processing the situation. Therefore, greater use of first person pronouns indicated a </w:t>
      </w:r>
      <w:proofErr w:type="spellStart"/>
      <w:r w:rsidR="00AF3844">
        <w:t>self focus</w:t>
      </w:r>
      <w:proofErr w:type="spellEnd"/>
      <w:r w:rsidR="00AF3844">
        <w:t xml:space="preserve">, third person pronouns indicated </w:t>
      </w:r>
      <w:r w:rsidR="00C07C6F">
        <w:t>a</w:t>
      </w:r>
      <w:r w:rsidR="00AF3844">
        <w:t xml:space="preserve"> focus on others, and verb tense indicated whether the focus was on past, present, or future events</w:t>
      </w:r>
      <w:r w:rsidR="00301696">
        <w:t xml:space="preserve"> (</w:t>
      </w:r>
      <w:proofErr w:type="spellStart"/>
      <w:r w:rsidR="00301696">
        <w:t>Tausczik</w:t>
      </w:r>
      <w:proofErr w:type="spellEnd"/>
      <w:r w:rsidR="00301696">
        <w:t xml:space="preserve"> &amp; Pennebaker, 2009)</w:t>
      </w:r>
      <w:r w:rsidR="00AF3844">
        <w:t>.</w:t>
      </w:r>
      <w:r w:rsidR="004649D8">
        <w:t xml:space="preserve"> Attentional focus in the form of pronouns has been linked to depression (Rude, </w:t>
      </w:r>
      <w:proofErr w:type="spellStart"/>
      <w:r w:rsidR="004649D8">
        <w:t>Gortner</w:t>
      </w:r>
      <w:proofErr w:type="spellEnd"/>
      <w:r w:rsidR="004649D8">
        <w:t xml:space="preserve">, &amp; Pennebaker, 2004), bullying (Kowalski, 2000), and </w:t>
      </w:r>
      <w:commentRangeStart w:id="2"/>
      <w:r w:rsidR="004649D8">
        <w:t xml:space="preserve">marital satisfaction (Simmons, Gordon, &amp; </w:t>
      </w:r>
      <w:proofErr w:type="spellStart"/>
      <w:r w:rsidR="004649D8">
        <w:t>Chambless</w:t>
      </w:r>
      <w:proofErr w:type="spellEnd"/>
      <w:r w:rsidR="004649D8">
        <w:t>, 2005)</w:t>
      </w:r>
      <w:commentRangeEnd w:id="2"/>
      <w:r w:rsidR="005C2655">
        <w:rPr>
          <w:rStyle w:val="CommentReference"/>
        </w:rPr>
        <w:commentReference w:id="2"/>
      </w:r>
      <w:r w:rsidR="004649D8">
        <w:t xml:space="preserve">. </w:t>
      </w:r>
      <w:r w:rsidR="00616583">
        <w:t>Little research has examined the attentional focus in i</w:t>
      </w:r>
      <w:r w:rsidR="00B249E1">
        <w:t xml:space="preserve">ntergroup conflict situations. Abe (2012), examining a forum discussing the Iraq War in 2002-2003, found </w:t>
      </w:r>
      <w:commentRangeStart w:id="3"/>
      <w:r w:rsidR="00B249E1">
        <w:t xml:space="preserve">supporters </w:t>
      </w:r>
      <w:commentRangeEnd w:id="3"/>
      <w:r w:rsidR="00B5587B">
        <w:rPr>
          <w:rStyle w:val="CommentReference"/>
        </w:rPr>
        <w:commentReference w:id="3"/>
      </w:r>
      <w:r w:rsidR="00B249E1">
        <w:t xml:space="preserve">of the war tended to have an external focus, using more third person pronouns, and tended to use more time related words. </w:t>
      </w:r>
      <w:proofErr w:type="spellStart"/>
      <w:r w:rsidR="007D04B3">
        <w:t>Matasumoto</w:t>
      </w:r>
      <w:proofErr w:type="spellEnd"/>
      <w:r w:rsidR="007D04B3">
        <w:t xml:space="preserve"> and Hwang (2015) also found greater use of plural third person pronouns (i.e. </w:t>
      </w:r>
      <w:r w:rsidR="007D04B3">
        <w:rPr>
          <w:i/>
        </w:rPr>
        <w:t xml:space="preserve">we, </w:t>
      </w:r>
      <w:r w:rsidR="007D04B3" w:rsidRPr="007D04B3">
        <w:rPr>
          <w:i/>
        </w:rPr>
        <w:t>us</w:t>
      </w:r>
      <w:r w:rsidR="007D04B3">
        <w:t xml:space="preserve">) predicted aggressive acts by groups </w:t>
      </w:r>
      <w:r w:rsidR="00C07C6F">
        <w:t xml:space="preserve">by </w:t>
      </w:r>
      <w:commentRangeStart w:id="4"/>
      <w:r w:rsidR="007D04B3">
        <w:t>examining historical texts</w:t>
      </w:r>
      <w:commentRangeEnd w:id="4"/>
      <w:r w:rsidR="00A744FC">
        <w:rPr>
          <w:rStyle w:val="CommentReference"/>
        </w:rPr>
        <w:commentReference w:id="4"/>
      </w:r>
      <w:r w:rsidR="00D4415D">
        <w:t>. Based on these studies as well as</w:t>
      </w:r>
      <w:r w:rsidR="00616583">
        <w:t xml:space="preserve"> previous research on intergroup conflict</w:t>
      </w:r>
      <w:r w:rsidR="00D4415D">
        <w:t>, we</w:t>
      </w:r>
      <w:r w:rsidR="00616583">
        <w:t xml:space="preserve"> suggest those who perceive greater threat to the </w:t>
      </w:r>
      <w:commentRangeStart w:id="5"/>
      <w:proofErr w:type="spellStart"/>
      <w:r w:rsidR="00616583">
        <w:t>ingroup</w:t>
      </w:r>
      <w:proofErr w:type="spellEnd"/>
      <w:r w:rsidR="00616583">
        <w:t xml:space="preserve"> </w:t>
      </w:r>
      <w:commentRangeEnd w:id="5"/>
      <w:r w:rsidR="00BD6D84">
        <w:rPr>
          <w:rStyle w:val="CommentReference"/>
        </w:rPr>
        <w:commentReference w:id="5"/>
      </w:r>
      <w:r w:rsidR="00616583">
        <w:t>may focus more negative attention on the outgroup and focus on past events between the groups (</w:t>
      </w:r>
      <w:proofErr w:type="spellStart"/>
      <w:r w:rsidR="00616583">
        <w:t>Meeus</w:t>
      </w:r>
      <w:proofErr w:type="spellEnd"/>
      <w:r w:rsidR="00616583">
        <w:t xml:space="preserve"> et al., 2009).</w:t>
      </w:r>
      <w:r w:rsidR="003D2C34">
        <w:t xml:space="preserve"> </w:t>
      </w:r>
      <w:r w:rsidR="00663072">
        <w:t>The p</w:t>
      </w:r>
      <w:r w:rsidR="000E6227">
        <w:t>urpose</w:t>
      </w:r>
      <w:r w:rsidR="00663072">
        <w:t xml:space="preserve"> of the current studies</w:t>
      </w:r>
      <w:r w:rsidR="000E6227">
        <w:t xml:space="preserve"> is to determine</w:t>
      </w:r>
      <w:r w:rsidR="00C07C6F">
        <w:t xml:space="preserve"> if</w:t>
      </w:r>
      <w:r w:rsidR="000E6227">
        <w:t xml:space="preserve"> attentional focus is different </w:t>
      </w:r>
      <w:r w:rsidR="00663072">
        <w:t>for members</w:t>
      </w:r>
      <w:r w:rsidR="00E05BDF">
        <w:t xml:space="preserve"> </w:t>
      </w:r>
      <w:r w:rsidR="00663072">
        <w:t>of Congress who support war measure</w:t>
      </w:r>
      <w:r w:rsidR="00B0328C">
        <w:t>s</w:t>
      </w:r>
      <w:r w:rsidR="00663072">
        <w:t xml:space="preserve"> versus those who oppose them.</w:t>
      </w:r>
    </w:p>
    <w:p w14:paraId="06123AC0" w14:textId="77777777" w:rsidR="000E6227" w:rsidRDefault="000E6227" w:rsidP="00F677F4">
      <w:r w:rsidRPr="00F677F4">
        <w:rPr>
          <w:b/>
        </w:rPr>
        <w:lastRenderedPageBreak/>
        <w:t>Hypotheses</w:t>
      </w:r>
    </w:p>
    <w:p w14:paraId="04648323" w14:textId="77777777" w:rsidR="000E6227" w:rsidRDefault="000E6227" w:rsidP="00E05BDF">
      <w:pPr>
        <w:ind w:left="360"/>
      </w:pPr>
      <w:r>
        <w:t>H1: Supporters of war measures will focus on other people and will therefore use more third person pronouns</w:t>
      </w:r>
      <w:r w:rsidR="00275DFE">
        <w:t xml:space="preserve"> (Abe, 2012; </w:t>
      </w:r>
      <w:proofErr w:type="spellStart"/>
      <w:r w:rsidR="00275DFE">
        <w:t>Matasumoto</w:t>
      </w:r>
      <w:proofErr w:type="spellEnd"/>
      <w:r w:rsidR="00275DFE">
        <w:t xml:space="preserve"> &amp; Hwang, 2015)</w:t>
      </w:r>
      <w:r>
        <w:t>.</w:t>
      </w:r>
    </w:p>
    <w:p w14:paraId="1F078FB6" w14:textId="77777777" w:rsidR="007C08EA" w:rsidRDefault="007C08EA" w:rsidP="00E05BDF">
      <w:pPr>
        <w:ind w:left="360"/>
      </w:pPr>
      <w:r>
        <w:t>H2: Supporters of wars measures will focus on past events and will therefore use more past tense verbs</w:t>
      </w:r>
      <w:r w:rsidR="00275DFE">
        <w:t xml:space="preserve"> (Abe, 2012)</w:t>
      </w:r>
      <w:r>
        <w:t>.</w:t>
      </w:r>
    </w:p>
    <w:p w14:paraId="34B2974E" w14:textId="0E2119C6" w:rsidR="003860DA" w:rsidRDefault="00C64129" w:rsidP="003860DA">
      <w:pPr>
        <w:ind w:left="360"/>
        <w:jc w:val="center"/>
        <w:rPr>
          <w:b/>
        </w:rPr>
      </w:pPr>
      <w:r>
        <w:rPr>
          <w:b/>
        </w:rPr>
        <w:t>Method</w:t>
      </w:r>
    </w:p>
    <w:p w14:paraId="0F7C41AC" w14:textId="124B76CA" w:rsidR="00C64129" w:rsidRDefault="00C64129" w:rsidP="00C64129">
      <w:pPr>
        <w:ind w:firstLine="360"/>
      </w:pPr>
      <w:r>
        <w:rPr>
          <w:b/>
        </w:rPr>
        <w:t xml:space="preserve">Language samples. </w:t>
      </w:r>
      <w:r>
        <w:t xml:space="preserve">Linguistic frequency analysis was conducted on political speeches gleaned from Congress. The source of language samples was the Congressional Record, a searchable database containing a record of each session of Congress since 1995 available at </w:t>
      </w:r>
      <w:hyperlink r:id="rId10" w:history="1">
        <w:r w:rsidRPr="00480A1A">
          <w:rPr>
            <w:rStyle w:val="Hyperlink"/>
          </w:rPr>
          <w:t>https://www.congress.gov/congressional-record</w:t>
        </w:r>
      </w:hyperlink>
      <w:r>
        <w:t>, which is maintained by the U.S. Government Publishing Office. For this study, we searched for pertinent speeches from January 27, 1998 to September 19, 2013. Records were included if they pertained to U.S. relations with the following countries: Iraq, Libya, and Kosovo (see below for explanation of country selection). Samples were split by session date and person speaking, and therefore, each person could be represented multiple times in the dataset.</w:t>
      </w:r>
      <w:r w:rsidR="00015E69">
        <w:t xml:space="preserve"> Each file in the Congressional Record includes all speeches from the day selected, therefore, we separated each person’s speeches by day into different files for processing. For example, a Senator may </w:t>
      </w:r>
      <w:r w:rsidR="00291AEA">
        <w:t xml:space="preserve">respond back and forth with an invited guest speaker, and all the Senators spoken words would be combined into one file for that day. Only Senators and Representatives were included in this analysis. These speeches were then coded </w:t>
      </w:r>
      <w:r w:rsidR="002B6FF2">
        <w:t xml:space="preserve">for </w:t>
      </w:r>
      <w:r w:rsidR="00291AEA">
        <w:t>party affiliation of the Congressperson.</w:t>
      </w:r>
    </w:p>
    <w:p w14:paraId="228A62A2" w14:textId="77777777" w:rsidR="00291AEA" w:rsidRDefault="00291AEA" w:rsidP="00291AEA">
      <w:pPr>
        <w:rPr>
          <w:b/>
        </w:rPr>
      </w:pPr>
      <w:r>
        <w:rPr>
          <w:b/>
        </w:rPr>
        <w:t>Variables</w:t>
      </w:r>
    </w:p>
    <w:p w14:paraId="31F6A7E3" w14:textId="537FE3E1" w:rsidR="00291AEA" w:rsidRDefault="00291AEA" w:rsidP="00291AEA">
      <w:r>
        <w:rPr>
          <w:b/>
        </w:rPr>
        <w:tab/>
        <w:t xml:space="preserve">Language. </w:t>
      </w:r>
      <w:r>
        <w:t xml:space="preserve">Each language sample was analyzed using the Language Inquiry and Word Count </w:t>
      </w:r>
      <w:r>
        <w:fldChar w:fldCharType="begin"/>
      </w:r>
      <w:r>
        <w:instrText xml:space="preserve"> ADDIN EN.CITE &lt;EndNote&gt;&lt;Cite&gt;&lt;Author&gt;Pennebaker&lt;/Author&gt;&lt;Year&gt;2007&lt;/Year&gt;&lt;RecNum&gt;623&lt;/RecNum&gt;&lt;Prefix&gt;LIWC`; &lt;/Prefix&gt;&lt;DisplayText&gt;(LIWC; Pennebaker et al., 2007)&lt;/DisplayText&gt;&lt;record&gt;&lt;rec-number&gt;623&lt;/rec-number&gt;&lt;foreign-keys&gt;&lt;key app="EN" db-id="r592swz5f0vp26erdz4500502t5sfwd20xd9" timestamp="1402678330"&gt;623&lt;/key&gt;&lt;/foreign-keys&gt;&lt;ref-type name="Computer Program"&gt;9&lt;/ref-type&gt;&lt;contributors&gt;&lt;authors&gt;&lt;author&gt;Pennebaker, J. W.&lt;/author&gt;&lt;author&gt;Booth, R. J. &lt;/author&gt;&lt;author&gt;Francis, M. E.&lt;/author&gt;&lt;/authors&gt;&lt;/contributors&gt;&lt;titles&gt;&lt;title&gt;LIWC2007: Linguistic inquiry and word count&lt;/title&gt;&lt;/titles&gt;&lt;dates&gt;&lt;year&gt;2007&lt;/year&gt;&lt;/dates&gt;&lt;pub-location&gt;Austin, Texas&lt;/pub-location&gt;&lt;publisher&gt;liwc.net&lt;/publisher&gt;&lt;urls&gt;&lt;/urls&gt;&lt;/record&gt;&lt;/Cite&gt;&lt;/EndNote&gt;</w:instrText>
      </w:r>
      <w:r>
        <w:fldChar w:fldCharType="separate"/>
      </w:r>
      <w:r>
        <w:rPr>
          <w:noProof/>
        </w:rPr>
        <w:t>(LIWC; Pennebaker et al., 2007)</w:t>
      </w:r>
      <w:r>
        <w:fldChar w:fldCharType="end"/>
      </w:r>
      <w:r>
        <w:t xml:space="preserve">. We examined pronouns for Hypothesis 1 and verbs for </w:t>
      </w:r>
      <w:r>
        <w:lastRenderedPageBreak/>
        <w:t>Hypothesis 2. The pronouns category included first person singular and plural pronouns (</w:t>
      </w:r>
      <w:r>
        <w:rPr>
          <w:i/>
        </w:rPr>
        <w:t>I, me, we</w:t>
      </w:r>
      <w:r>
        <w:t>), second person pronouns (</w:t>
      </w:r>
      <w:r>
        <w:rPr>
          <w:i/>
        </w:rPr>
        <w:t>you, your</w:t>
      </w:r>
      <w:r>
        <w:t>), and third person singular and plural pronouns (</w:t>
      </w:r>
      <w:r>
        <w:rPr>
          <w:i/>
        </w:rPr>
        <w:t>he, she, they</w:t>
      </w:r>
      <w:r>
        <w:t>). The verbs category included past, present, and future tense verbs (</w:t>
      </w:r>
      <w:r>
        <w:rPr>
          <w:i/>
        </w:rPr>
        <w:t>went, does, will</w:t>
      </w:r>
      <w:r>
        <w:t>).</w:t>
      </w:r>
      <w:r w:rsidRPr="000705A2">
        <w:t xml:space="preserve"> </w:t>
      </w:r>
      <w:r w:rsidR="001B50E1">
        <w:t xml:space="preserve">The LIWC provides percentages </w:t>
      </w:r>
      <w:r w:rsidR="00786317">
        <w:t xml:space="preserve">of the text that fall into these categories. </w:t>
      </w:r>
      <w:r w:rsidR="00D45C34">
        <w:t xml:space="preserve">All data is provided online at OSF link. </w:t>
      </w:r>
    </w:p>
    <w:p w14:paraId="301D6A1C" w14:textId="6A63FC1D" w:rsidR="00C64129" w:rsidRDefault="00C64129" w:rsidP="00C64129">
      <w:pPr>
        <w:ind w:firstLine="360"/>
      </w:pPr>
      <w:r>
        <w:rPr>
          <w:b/>
        </w:rPr>
        <w:t xml:space="preserve">Military Action. </w:t>
      </w:r>
      <w:r>
        <w:t>For the purpose of this study, military action was defined as military personnel being sent into another nation to coerce the actions of that nation. In the past 15 years, the U.S. has taken military action against Iraq, Afghanistan, Kosovo, and Libya, although Congress did not explicitly approve action in Afghanistan or Libya. Operational definitions for support for war were voting records (yay, nay) on bills authorizing military action for Iraq, Kosovo, and Libya (only voted on in the House). These bills were House Joint Resolution 114, 107</w:t>
      </w:r>
      <w:r w:rsidRPr="003D0635">
        <w:rPr>
          <w:vertAlign w:val="superscript"/>
        </w:rPr>
        <w:t>th</w:t>
      </w:r>
      <w:r>
        <w:t xml:space="preserve"> Congress (2002); Senate Concurrent Resolution 21, 106</w:t>
      </w:r>
      <w:r w:rsidRPr="003D0635">
        <w:rPr>
          <w:vertAlign w:val="superscript"/>
        </w:rPr>
        <w:t>th</w:t>
      </w:r>
      <w:r>
        <w:t xml:space="preserve"> Congress (1999); and House Joint Resolution 68, 112</w:t>
      </w:r>
      <w:r w:rsidRPr="003D0635">
        <w:rPr>
          <w:vertAlign w:val="superscript"/>
        </w:rPr>
        <w:t>th</w:t>
      </w:r>
      <w:r>
        <w:t xml:space="preserve"> Congress (2011). </w:t>
      </w:r>
      <w:r w:rsidR="00565EE2">
        <w:t xml:space="preserve">Oppose or support information was combined with the LIWC percentages described above. </w:t>
      </w:r>
    </w:p>
    <w:p w14:paraId="6005626F" w14:textId="0A233213" w:rsidR="003168C9" w:rsidRPr="003860DA" w:rsidRDefault="00C64129" w:rsidP="00E41050">
      <w:pPr>
        <w:ind w:firstLine="720"/>
      </w:pPr>
      <w:r>
        <w:rPr>
          <w:b/>
        </w:rPr>
        <w:t xml:space="preserve">Data Analytic Technique. </w:t>
      </w:r>
      <w:r>
        <w:t xml:space="preserve">The data collected include multiple language samples by the same senator and are structured by both party affiliation and region of interest. This structure was best analyzed with multilevel modeling, which allowed us to control for the correlated error terms </w:t>
      </w:r>
      <w:r w:rsidR="002548F0">
        <w:t xml:space="preserve">of senator and party. We used the </w:t>
      </w:r>
      <w:proofErr w:type="spellStart"/>
      <w:r w:rsidR="002548F0">
        <w:rPr>
          <w:i/>
        </w:rPr>
        <w:t>nlme</w:t>
      </w:r>
      <w:proofErr w:type="spellEnd"/>
      <w:r w:rsidR="002548F0">
        <w:t xml:space="preserve"> package to calculate the means and standard deviation for each variable by voting recording. </w:t>
      </w:r>
      <w:r w:rsidR="00807A57">
        <w:t xml:space="preserve">The intercept was used to predict the dependent variable (LIWC category percent), which creates a mean score for the dependent variable. </w:t>
      </w:r>
      <w:r w:rsidR="00150271">
        <w:t xml:space="preserve">Party affiliation and </w:t>
      </w:r>
      <w:r w:rsidR="0090741A">
        <w:t>Congressperson name were controlled as random intercept factors</w:t>
      </w:r>
      <w:r w:rsidR="00733393">
        <w:t xml:space="preserve"> (</w:t>
      </w:r>
      <w:proofErr w:type="spellStart"/>
      <w:r w:rsidR="00733393">
        <w:t>Gelman</w:t>
      </w:r>
      <w:proofErr w:type="spellEnd"/>
      <w:r w:rsidR="00733393">
        <w:t xml:space="preserve"> citation)</w:t>
      </w:r>
      <w:r w:rsidR="0090741A">
        <w:t>.</w:t>
      </w:r>
      <w:r w:rsidR="002A544C">
        <w:t xml:space="preserve"> The standard error of the estimate was translated into standard deviation by multiplying by the square root of </w:t>
      </w:r>
      <w:r w:rsidR="002A544C">
        <w:rPr>
          <w:i/>
        </w:rPr>
        <w:t>n</w:t>
      </w:r>
      <w:r w:rsidR="002A544C">
        <w:t xml:space="preserve"> for the sample.</w:t>
      </w:r>
      <w:r w:rsidR="0090741A">
        <w:t xml:space="preserve"> </w:t>
      </w:r>
      <w:r w:rsidR="002A544C">
        <w:t xml:space="preserve">This analysis was bootstrapped using the </w:t>
      </w:r>
      <w:r w:rsidR="002A544C">
        <w:rPr>
          <w:i/>
        </w:rPr>
        <w:t xml:space="preserve">boot </w:t>
      </w:r>
      <w:r w:rsidR="002A544C">
        <w:t xml:space="preserve">library </w:t>
      </w:r>
      <w:r w:rsidR="002A544C">
        <w:lastRenderedPageBreak/>
        <w:t>1000 times, and the normal confidence interval for the mean was calculated using this function.  These values were separated by</w:t>
      </w:r>
      <w:r w:rsidR="00565EE2">
        <w:t xml:space="preserve"> voting record, Senate/House, and country of interest. </w:t>
      </w:r>
      <w:r w:rsidR="002A544C">
        <w:t xml:space="preserve">The means and confidence intervals are presented in forest plots to show the relative percentages for each combination. </w:t>
      </w:r>
      <w:r w:rsidR="00603646">
        <w:t xml:space="preserve">The bootstrapped standard deviation values were used to calculate </w:t>
      </w:r>
      <w:r w:rsidR="00603646">
        <w:rPr>
          <w:i/>
        </w:rPr>
        <w:t>d</w:t>
      </w:r>
      <w:r w:rsidR="00431DED">
        <w:rPr>
          <w:i/>
          <w:vertAlign w:val="subscript"/>
        </w:rPr>
        <w:t>s</w:t>
      </w:r>
      <w:r w:rsidR="00603646">
        <w:t xml:space="preserve"> values using </w:t>
      </w:r>
      <w:bookmarkStart w:id="6" w:name="_GoBack"/>
      <w:bookmarkEnd w:id="6"/>
      <w:r w:rsidR="00603646">
        <w:t xml:space="preserve">the </w:t>
      </w:r>
      <w:r w:rsidR="00603646">
        <w:rPr>
          <w:i/>
        </w:rPr>
        <w:t>MOTE</w:t>
      </w:r>
      <w:r w:rsidR="00603646">
        <w:t xml:space="preserve"> library with the pooled standard deviation as the denominator (</w:t>
      </w:r>
      <w:proofErr w:type="spellStart"/>
      <w:r w:rsidR="00603646">
        <w:t>Lakens</w:t>
      </w:r>
      <w:proofErr w:type="spellEnd"/>
      <w:r w:rsidR="00E41050">
        <w:t>,</w:t>
      </w:r>
      <w:r w:rsidR="00603646">
        <w:t xml:space="preserve"> 2013). </w:t>
      </w:r>
    </w:p>
    <w:p w14:paraId="0021033A" w14:textId="77777777" w:rsidR="00C727C2" w:rsidRDefault="00C727C2" w:rsidP="00E05BDF">
      <w:pPr>
        <w:jc w:val="center"/>
        <w:rPr>
          <w:b/>
        </w:rPr>
      </w:pPr>
      <w:r w:rsidRPr="00E05BDF">
        <w:rPr>
          <w:b/>
        </w:rPr>
        <w:t>Study 1a</w:t>
      </w:r>
    </w:p>
    <w:p w14:paraId="0D856DD6" w14:textId="02E95A96" w:rsidR="00E05BDF" w:rsidRDefault="00E05BDF" w:rsidP="00E05BDF">
      <w:r>
        <w:rPr>
          <w:b/>
        </w:rPr>
        <w:tab/>
      </w:r>
      <w:r w:rsidR="00602BC5">
        <w:t>In early 1998, violence erupted in the Serbian region of Kosovo between eth</w:t>
      </w:r>
      <w:r w:rsidR="00AF041D">
        <w:t xml:space="preserve">nic Albanians and the Serbian government. </w:t>
      </w:r>
      <w:r w:rsidR="00364630">
        <w:t>A peace agreement later in the year lasted until the beginning of 1999 when several Albanian civilians were killed</w:t>
      </w:r>
      <w:r w:rsidR="00C07C6F">
        <w:t>,</w:t>
      </w:r>
      <w:r w:rsidR="00364630">
        <w:t xml:space="preserve"> prompting a resurrection of hostilities. </w:t>
      </w:r>
      <w:r w:rsidR="001957D4">
        <w:t>When the Serbian government</w:t>
      </w:r>
      <w:r w:rsidR="009B22C3">
        <w:t xml:space="preserve">, namely President </w:t>
      </w:r>
      <w:r w:rsidR="00C07C6F">
        <w:t xml:space="preserve">Slobodan </w:t>
      </w:r>
      <w:r w:rsidR="009B22C3">
        <w:t>Milosevic,</w:t>
      </w:r>
      <w:r w:rsidR="001957D4">
        <w:t xml:space="preserve"> failed to concede to allowing</w:t>
      </w:r>
      <w:r w:rsidR="009B22C3">
        <w:t xml:space="preserve"> a</w:t>
      </w:r>
      <w:r w:rsidR="001957D4">
        <w:t xml:space="preserve"> </w:t>
      </w:r>
      <w:r w:rsidR="009B22C3">
        <w:t>NATO</w:t>
      </w:r>
      <w:r w:rsidR="001957D4">
        <w:t xml:space="preserve"> </w:t>
      </w:r>
      <w:r w:rsidR="009B22C3">
        <w:t xml:space="preserve">peacekeeping force in Kosovo during February 1999 negotiations, </w:t>
      </w:r>
      <w:r w:rsidR="00F415EA">
        <w:t xml:space="preserve">NATO authorized air strikes against Serbian targets. </w:t>
      </w:r>
      <w:r w:rsidR="007713D8">
        <w:t>This subsequently prompted debate within the U.S. Congress as to</w:t>
      </w:r>
      <w:r w:rsidR="00C07C6F">
        <w:t xml:space="preserve"> the </w:t>
      </w:r>
      <w:r w:rsidR="007713D8">
        <w:t>involvement of the U.S. military in NATO’s operations in Serbia and Kosovo</w:t>
      </w:r>
      <w:r w:rsidR="004E031D">
        <w:t xml:space="preserve"> (Kim, 1999)</w:t>
      </w:r>
      <w:r w:rsidR="007713D8">
        <w:t xml:space="preserve">. </w:t>
      </w:r>
      <w:r w:rsidR="009B22C3">
        <w:t xml:space="preserve"> </w:t>
      </w:r>
      <w:r w:rsidR="000F13A5">
        <w:t>In this study, we examine this debate in the U.S. House of Representatives to determine if</w:t>
      </w:r>
      <w:r w:rsidR="00950710">
        <w:t xml:space="preserve"> </w:t>
      </w:r>
      <w:r w:rsidR="00C07C6F">
        <w:t>members of Congress</w:t>
      </w:r>
      <w:r w:rsidR="00950710">
        <w:t xml:space="preserve"> who supported U.S. military involvement </w:t>
      </w:r>
      <w:r w:rsidR="00B543D6">
        <w:t>focused on people or events differently than those who opposed it</w:t>
      </w:r>
      <w:r w:rsidR="000F13A5">
        <w:t>.</w:t>
      </w:r>
      <w:r w:rsidR="009B22C3">
        <w:t xml:space="preserve"> </w:t>
      </w:r>
      <w:r w:rsidR="00602BC5">
        <w:t xml:space="preserve"> </w:t>
      </w:r>
      <w:r>
        <w:t xml:space="preserve"> </w:t>
      </w:r>
      <w:r w:rsidR="00B0328C">
        <w:rPr>
          <w:rStyle w:val="CommentReference"/>
        </w:rPr>
        <w:commentReference w:id="7"/>
      </w:r>
    </w:p>
    <w:p w14:paraId="52D37333" w14:textId="77777777" w:rsidR="00E05BDF" w:rsidRDefault="00E05BDF" w:rsidP="00E05BDF">
      <w:pPr>
        <w:jc w:val="center"/>
        <w:rPr>
          <w:b/>
        </w:rPr>
      </w:pPr>
      <w:r>
        <w:rPr>
          <w:b/>
        </w:rPr>
        <w:t>Method</w:t>
      </w:r>
    </w:p>
    <w:p w14:paraId="42B823A2" w14:textId="2D3BE1A8" w:rsidR="003860DA" w:rsidRPr="003860DA" w:rsidRDefault="009168CD" w:rsidP="003860DA">
      <w:r>
        <w:rPr>
          <w:b/>
        </w:rPr>
        <w:tab/>
      </w:r>
      <w:r w:rsidR="00366549">
        <w:t xml:space="preserve">Speeches </w:t>
      </w:r>
      <w:r w:rsidR="00CF4BF0">
        <w:t xml:space="preserve">made in the House of Representatives </w:t>
      </w:r>
      <w:r w:rsidR="00366549">
        <w:t xml:space="preserve">pertaining to the use of military force in Kosovo/Serbia were gathered from the Congressional Record available from the U.S. Government Publishing Office. </w:t>
      </w:r>
      <w:r w:rsidR="00FD3C60">
        <w:t xml:space="preserve">In </w:t>
      </w:r>
      <w:r w:rsidR="00D733AF">
        <w:t>total</w:t>
      </w:r>
      <w:r w:rsidR="00600EEC">
        <w:t xml:space="preserve">, 210 speeches were collected. </w:t>
      </w:r>
      <w:r w:rsidR="00D733AF">
        <w:t>Speeches were limited to those made in the year preceding the vote on Senate Concurrent Resolution 21 made on April 28, 1999 to allow the President to conduct air and missile strikes against Yugoslavia (Serbia and Montenegro). This resolution failed in the House with</w:t>
      </w:r>
      <w:r w:rsidR="005264B9">
        <w:t xml:space="preserve"> 213-213 with 86% of Democrats </w:t>
      </w:r>
      <w:r w:rsidR="005264B9">
        <w:lastRenderedPageBreak/>
        <w:t>supporting the resolution and 84% of Republicans opposing</w:t>
      </w:r>
      <w:r w:rsidR="00D733AF">
        <w:t xml:space="preserve">. </w:t>
      </w:r>
      <w:r w:rsidR="00600EEC">
        <w:t>These speeches were made by 156 unique speakers</w:t>
      </w:r>
      <w:r w:rsidR="00B85C34">
        <w:t xml:space="preserve"> with Republicans giving 108 speeches, Democrats giving 98 speeches, and one speech by an Independent. </w:t>
      </w:r>
      <w:r w:rsidR="00E532A5">
        <w:t>The average word count was 700.51 (</w:t>
      </w:r>
      <w:r w:rsidR="00E532A5">
        <w:rPr>
          <w:i/>
        </w:rPr>
        <w:t xml:space="preserve">SD </w:t>
      </w:r>
      <w:r w:rsidR="00E532A5">
        <w:t>= 814.04).</w:t>
      </w:r>
    </w:p>
    <w:p w14:paraId="6D4BDF72" w14:textId="77777777" w:rsidR="00E05BDF" w:rsidRDefault="00E05BDF" w:rsidP="00E05BDF">
      <w:pPr>
        <w:jc w:val="center"/>
        <w:rPr>
          <w:b/>
        </w:rPr>
      </w:pPr>
      <w:r>
        <w:rPr>
          <w:b/>
        </w:rPr>
        <w:t>Results</w:t>
      </w:r>
    </w:p>
    <w:p w14:paraId="12C813F9" w14:textId="740BF42E" w:rsidR="008B7049" w:rsidRDefault="00893A41" w:rsidP="00893A41">
      <w:r>
        <w:tab/>
        <w:t xml:space="preserve">For this and subsequent studies, </w:t>
      </w:r>
      <w:r w:rsidR="00A41762">
        <w:t xml:space="preserve">bootstrapped means and confidence intervals </w:t>
      </w:r>
      <w:r w:rsidR="005667EC">
        <w:t xml:space="preserve">(CIs) </w:t>
      </w:r>
      <w:r w:rsidR="00B92110">
        <w:t xml:space="preserve">using 100000 samples </w:t>
      </w:r>
      <w:r w:rsidR="00A41762">
        <w:t>were calculated for percentage of first-person singular (</w:t>
      </w:r>
      <w:r w:rsidR="0066654F">
        <w:rPr>
          <w:i/>
        </w:rPr>
        <w:t>I</w:t>
      </w:r>
      <w:r w:rsidR="00A41762">
        <w:t>), first-person plural (</w:t>
      </w:r>
      <w:r w:rsidR="00A41762">
        <w:rPr>
          <w:i/>
        </w:rPr>
        <w:t>we</w:t>
      </w:r>
      <w:r w:rsidR="00A41762">
        <w:t>), third-person singular (</w:t>
      </w:r>
      <w:r w:rsidR="00A41762">
        <w:rPr>
          <w:i/>
        </w:rPr>
        <w:t>he, she</w:t>
      </w:r>
      <w:r w:rsidR="00A41762">
        <w:t>), third-person plural (</w:t>
      </w:r>
      <w:r w:rsidR="00A41762">
        <w:rPr>
          <w:i/>
        </w:rPr>
        <w:t>they</w:t>
      </w:r>
      <w:r w:rsidR="00A41762">
        <w:t xml:space="preserve">), past-tense, present-tense, and future tense used by supporters of the resolution versus </w:t>
      </w:r>
      <w:r w:rsidR="0044681C">
        <w:t>opponents</w:t>
      </w:r>
      <w:r w:rsidR="00A41762">
        <w:t xml:space="preserve"> of the resolution. </w:t>
      </w:r>
      <w:r w:rsidR="0069040D">
        <w:t>Then, effect sizes</w:t>
      </w:r>
      <w:r w:rsidR="0010127E">
        <w:t>,</w:t>
      </w:r>
      <w:r w:rsidR="0069040D">
        <w:t xml:space="preserve"> in the form of Cohen’s </w:t>
      </w:r>
      <w:r w:rsidR="0069040D">
        <w:rPr>
          <w:i/>
        </w:rPr>
        <w:t>d</w:t>
      </w:r>
      <w:r w:rsidR="0010127E">
        <w:t>,</w:t>
      </w:r>
      <w:r w:rsidR="0069040D">
        <w:rPr>
          <w:i/>
        </w:rPr>
        <w:t xml:space="preserve"> </w:t>
      </w:r>
      <w:r w:rsidR="0069040D">
        <w:t>w</w:t>
      </w:r>
      <w:r w:rsidR="0010127E">
        <w:t>ere</w:t>
      </w:r>
      <w:r w:rsidR="0069040D">
        <w:t xml:space="preserve"> calculated for all comparisons.</w:t>
      </w:r>
    </w:p>
    <w:p w14:paraId="20B2FF2A" w14:textId="51BC7D27" w:rsidR="00893A41" w:rsidRPr="0069040D" w:rsidRDefault="008B7049" w:rsidP="00893A41">
      <w:r>
        <w:tab/>
        <w:t xml:space="preserve">A forest plot of the results can be found in Figure 1. </w:t>
      </w:r>
      <w:r w:rsidR="0069040D">
        <w:t xml:space="preserve"> </w:t>
      </w:r>
      <w:r w:rsidR="0066654F">
        <w:t>Small effect emerged for first-person singular pronouns (</w:t>
      </w:r>
      <w:r w:rsidR="0066654F">
        <w:rPr>
          <w:i/>
        </w:rPr>
        <w:t>d</w:t>
      </w:r>
      <w:r w:rsidR="0066654F">
        <w:t xml:space="preserve"> = .34) and future tense verbs (</w:t>
      </w:r>
      <w:r w:rsidR="0066654F">
        <w:rPr>
          <w:i/>
        </w:rPr>
        <w:t>d</w:t>
      </w:r>
      <w:r w:rsidR="0066654F">
        <w:t xml:space="preserve"> = .34). </w:t>
      </w:r>
      <w:r w:rsidR="00BD6D84">
        <w:t>Members of Congress</w:t>
      </w:r>
      <w:r w:rsidR="0066654F">
        <w:t xml:space="preserve"> who supported U.S. military action tended to use slightly more self-references and references to future </w:t>
      </w:r>
      <w:commentRangeStart w:id="8"/>
      <w:r w:rsidR="0066654F">
        <w:t>actions</w:t>
      </w:r>
      <w:commentRangeEnd w:id="8"/>
      <w:r w:rsidR="00C07C6F">
        <w:rPr>
          <w:rStyle w:val="CommentReference"/>
        </w:rPr>
        <w:commentReference w:id="8"/>
      </w:r>
      <w:r w:rsidR="0066654F">
        <w:t xml:space="preserve">. </w:t>
      </w:r>
      <w:r w:rsidR="00ED328A">
        <w:t xml:space="preserve">  </w:t>
      </w:r>
    </w:p>
    <w:p w14:paraId="0DF3C195" w14:textId="77777777" w:rsidR="00C727C2" w:rsidRDefault="00C727C2" w:rsidP="00E05BDF">
      <w:pPr>
        <w:jc w:val="center"/>
        <w:rPr>
          <w:b/>
        </w:rPr>
      </w:pPr>
      <w:r w:rsidRPr="00E05BDF">
        <w:rPr>
          <w:b/>
        </w:rPr>
        <w:t>Study 1b</w:t>
      </w:r>
    </w:p>
    <w:p w14:paraId="5B562401" w14:textId="77777777" w:rsidR="00E15898" w:rsidRPr="00E15898" w:rsidRDefault="00E15898" w:rsidP="00E15898">
      <w:r>
        <w:rPr>
          <w:b/>
        </w:rPr>
        <w:tab/>
      </w:r>
      <w:r>
        <w:t>In the second part of this study, we examine</w:t>
      </w:r>
      <w:r w:rsidR="009D6D80">
        <w:t>d</w:t>
      </w:r>
      <w:r>
        <w:t xml:space="preserve"> the Kosovo debate in the U.S. Senate</w:t>
      </w:r>
      <w:r w:rsidR="001E52FA">
        <w:t xml:space="preserve"> t</w:t>
      </w:r>
      <w:r w:rsidR="009D6D80">
        <w:t xml:space="preserve">o determine if the differences found in the first part of the study were also evident in the Senate. </w:t>
      </w:r>
    </w:p>
    <w:p w14:paraId="12B02105" w14:textId="77777777" w:rsidR="00105D9F" w:rsidRDefault="00105D9F" w:rsidP="00105D9F">
      <w:pPr>
        <w:jc w:val="center"/>
        <w:rPr>
          <w:b/>
        </w:rPr>
      </w:pPr>
      <w:r>
        <w:rPr>
          <w:b/>
        </w:rPr>
        <w:t>Method</w:t>
      </w:r>
    </w:p>
    <w:p w14:paraId="09EF6A74" w14:textId="60B766F2" w:rsidR="00105D9F" w:rsidRDefault="00105D9F" w:rsidP="00105D9F">
      <w:r>
        <w:tab/>
      </w:r>
      <w:r w:rsidR="00A45CC4">
        <w:t>Speeches were gathered</w:t>
      </w:r>
      <w:r>
        <w:t xml:space="preserve"> in the same </w:t>
      </w:r>
      <w:r w:rsidR="0044681C">
        <w:t>manner</w:t>
      </w:r>
      <w:r>
        <w:t xml:space="preserve"> as in the first part of the study. All speeches made in the Senate in the year before</w:t>
      </w:r>
      <w:r w:rsidR="0044681C">
        <w:t xml:space="preserve"> the</w:t>
      </w:r>
      <w:r>
        <w:t xml:space="preserve"> </w:t>
      </w:r>
      <w:r w:rsidR="001C1C28">
        <w:t xml:space="preserve">March 23, 1999 </w:t>
      </w:r>
      <w:r w:rsidR="0044681C">
        <w:t>vote</w:t>
      </w:r>
      <w:r w:rsidR="001C1C28">
        <w:t xml:space="preserve"> on Senate Concurrent Resolution 21. </w:t>
      </w:r>
      <w:r w:rsidR="00A45CC4">
        <w:t>This resolution passed the Senate with 58 supporting and 41 opposing.</w:t>
      </w:r>
      <w:r w:rsidR="005950A0">
        <w:t xml:space="preserve"> All but 3 Dem</w:t>
      </w:r>
      <w:r w:rsidR="0044681C">
        <w:t>ocrats supported the resolution</w:t>
      </w:r>
      <w:r w:rsidR="005950A0">
        <w:t xml:space="preserve"> while </w:t>
      </w:r>
      <w:r w:rsidR="00DB6E48">
        <w:t xml:space="preserve">70% of Republicans opposed </w:t>
      </w:r>
      <w:r w:rsidR="0044681C">
        <w:t>it</w:t>
      </w:r>
      <w:r w:rsidR="00DB6E48">
        <w:t>.</w:t>
      </w:r>
      <w:r w:rsidR="00A45CC4">
        <w:t xml:space="preserve"> A total of </w:t>
      </w:r>
      <w:r w:rsidR="008D364B">
        <w:t>50</w:t>
      </w:r>
      <w:r w:rsidR="00A45CC4">
        <w:t xml:space="preserve"> speeches were collected. </w:t>
      </w:r>
      <w:r w:rsidR="008D364B">
        <w:t xml:space="preserve">These speeches were made by 26 unique senators with 12 speeches by Democrats and 37 by Republicans. </w:t>
      </w:r>
      <w:r w:rsidR="00BC78D8">
        <w:t>The average word count for these speeches were 1413.14 (</w:t>
      </w:r>
      <w:r w:rsidR="00BC78D8">
        <w:rPr>
          <w:i/>
        </w:rPr>
        <w:t xml:space="preserve">SD </w:t>
      </w:r>
      <w:r w:rsidR="00BC78D8">
        <w:t>= 1076.37).</w:t>
      </w:r>
    </w:p>
    <w:p w14:paraId="40D38901" w14:textId="77777777" w:rsidR="00EC1FDB" w:rsidRDefault="00EC1FDB" w:rsidP="00EC1FDB">
      <w:pPr>
        <w:jc w:val="center"/>
        <w:rPr>
          <w:b/>
        </w:rPr>
      </w:pPr>
      <w:r>
        <w:rPr>
          <w:b/>
        </w:rPr>
        <w:lastRenderedPageBreak/>
        <w:t>Results</w:t>
      </w:r>
    </w:p>
    <w:p w14:paraId="0E3BD34B" w14:textId="77777777" w:rsidR="005667EC" w:rsidRDefault="005667EC" w:rsidP="005667EC">
      <w:r>
        <w:tab/>
        <w:t xml:space="preserve">Analyses were conducted in the same manner as the first part of the study with bootstrapped means and CIs calculated for the seven categories marking attention. Results can be seen as a forest plot in Figure 2. </w:t>
      </w:r>
      <w:r w:rsidR="007F48EC">
        <w:t>Sizable differences were found in the use of first-person plural pronouns (</w:t>
      </w:r>
      <w:r w:rsidR="007F48EC">
        <w:rPr>
          <w:i/>
        </w:rPr>
        <w:t>d</w:t>
      </w:r>
      <w:r w:rsidR="007F48EC">
        <w:t xml:space="preserve"> = -1.65), third-person plural pronouns (</w:t>
      </w:r>
      <w:r w:rsidR="007F48EC">
        <w:rPr>
          <w:i/>
        </w:rPr>
        <w:t>d</w:t>
      </w:r>
      <w:r w:rsidR="007F48EC">
        <w:t xml:space="preserve"> = -.70), and present-tense verbs (</w:t>
      </w:r>
      <w:r w:rsidR="007F48EC">
        <w:rPr>
          <w:i/>
        </w:rPr>
        <w:t>d</w:t>
      </w:r>
      <w:r w:rsidR="007F48EC">
        <w:t xml:space="preserve"> = -1.21). </w:t>
      </w:r>
      <w:r w:rsidR="00731D43">
        <w:t xml:space="preserve">Senators who opposed U.S. military involvement in Kosovo tended make more group-references both to their own group and the outgroup. Senators opposed to the legislation tended to make more reference to current actions. </w:t>
      </w:r>
    </w:p>
    <w:p w14:paraId="28259540" w14:textId="77777777" w:rsidR="00895455" w:rsidRDefault="00895455" w:rsidP="00895455">
      <w:pPr>
        <w:jc w:val="center"/>
        <w:rPr>
          <w:b/>
        </w:rPr>
      </w:pPr>
      <w:r>
        <w:rPr>
          <w:b/>
        </w:rPr>
        <w:t>Discussion</w:t>
      </w:r>
    </w:p>
    <w:p w14:paraId="44DB8A26" w14:textId="16900E55" w:rsidR="00E23666" w:rsidRDefault="00935E3D" w:rsidP="00935E3D">
      <w:r>
        <w:rPr>
          <w:b/>
        </w:rPr>
        <w:tab/>
      </w:r>
      <w:r w:rsidR="00A042DC">
        <w:t xml:space="preserve">The results of this first study are </w:t>
      </w:r>
      <w:r w:rsidR="00B578F3">
        <w:t>inconsistent and</w:t>
      </w:r>
      <w:r w:rsidR="00A042DC">
        <w:t xml:space="preserve"> contrary to our hypotheses. </w:t>
      </w:r>
      <w:r w:rsidR="00B578F3">
        <w:t xml:space="preserve">The results were inconsistent in that effects were found for the Senate but no effects were found for the House. It is difficult to know exactly why this is the case; </w:t>
      </w:r>
      <w:proofErr w:type="gramStart"/>
      <w:r w:rsidR="00B578F3">
        <w:t>however</w:t>
      </w:r>
      <w:proofErr w:type="gramEnd"/>
      <w:r w:rsidR="00B578F3">
        <w:t xml:space="preserve"> there are several possible explanation</w:t>
      </w:r>
      <w:r w:rsidR="00BD6D84">
        <w:t xml:space="preserve">s. First, voting in Congress is </w:t>
      </w:r>
      <w:r w:rsidR="00B578F3">
        <w:t xml:space="preserve">exceedingly complex </w:t>
      </w:r>
      <w:r w:rsidR="00264F9C">
        <w:t xml:space="preserve">and is influenced by much more than floor debates in a given chamber. In this case, the Senate vote on the resolution occurred before the main debate in the </w:t>
      </w:r>
      <w:r w:rsidR="008A6CC3">
        <w:t>House, which</w:t>
      </w:r>
      <w:r w:rsidR="00264F9C">
        <w:t xml:space="preserve"> </w:t>
      </w:r>
      <w:commentRangeStart w:id="9"/>
      <w:r w:rsidR="00264F9C">
        <w:t>may have influenced what the debate focused on</w:t>
      </w:r>
      <w:commentRangeEnd w:id="9"/>
      <w:r w:rsidR="008A6CC3">
        <w:rPr>
          <w:rStyle w:val="CommentReference"/>
        </w:rPr>
        <w:commentReference w:id="9"/>
      </w:r>
      <w:r w:rsidR="00264F9C">
        <w:t xml:space="preserve">. </w:t>
      </w:r>
      <w:r w:rsidR="00AC6067">
        <w:t xml:space="preserve">Second, the Senate and the House are </w:t>
      </w:r>
      <w:r w:rsidR="00F8182B">
        <w:t xml:space="preserve">composed differently. Members of the House serve two year terms while Senators serve six year terms. Furthermore, Senators typically have more political experience than members of the House (FIGURE OUT HOW TO CITE THIS). These, </w:t>
      </w:r>
      <w:commentRangeStart w:id="10"/>
      <w:r w:rsidR="00F8182B">
        <w:t>as well as other factors</w:t>
      </w:r>
      <w:commentRangeEnd w:id="10"/>
      <w:r w:rsidR="008A6CC3">
        <w:rPr>
          <w:rStyle w:val="CommentReference"/>
        </w:rPr>
        <w:commentReference w:id="10"/>
      </w:r>
      <w:r w:rsidR="00F8182B">
        <w:t xml:space="preserve">, may help explain the differential effects for the two chambers of Congress. </w:t>
      </w:r>
    </w:p>
    <w:p w14:paraId="354F9BBD" w14:textId="77777777" w:rsidR="0011331F" w:rsidRPr="00F93403" w:rsidRDefault="00E23666" w:rsidP="00085C1E">
      <w:pPr>
        <w:spacing w:before="240"/>
      </w:pPr>
      <w:r>
        <w:tab/>
        <w:t>The results were also contrary to our hypotheses. At least in the Senate, those who supported taking military action</w:t>
      </w:r>
      <w:r w:rsidR="00BE326F">
        <w:t xml:space="preserve"> used fewer third person plural pronouns while there was no difference in third person singular pronouns. </w:t>
      </w:r>
      <w:r w:rsidR="00741789">
        <w:t xml:space="preserve">Those who supported military action also used </w:t>
      </w:r>
      <w:r w:rsidR="00741789">
        <w:lastRenderedPageBreak/>
        <w:t xml:space="preserve">fewer third person singular pronouns. This suggests that those who opposed military action focused on both </w:t>
      </w:r>
      <w:r w:rsidR="00973236">
        <w:t xml:space="preserve">on their </w:t>
      </w:r>
      <w:proofErr w:type="spellStart"/>
      <w:r w:rsidR="00973236">
        <w:t>ingroup</w:t>
      </w:r>
      <w:proofErr w:type="spellEnd"/>
      <w:r w:rsidR="00973236">
        <w:t xml:space="preserve"> and on the outgroup. </w:t>
      </w:r>
      <w:r w:rsidR="00085C1E">
        <w:t xml:space="preserve">Based on the findings of Abe (2012) and </w:t>
      </w:r>
      <w:proofErr w:type="spellStart"/>
      <w:r w:rsidR="00085C1E">
        <w:t>Matasumoto</w:t>
      </w:r>
      <w:proofErr w:type="spellEnd"/>
      <w:r w:rsidR="00085C1E">
        <w:t xml:space="preserve"> and Hwang (2015), </w:t>
      </w:r>
      <w:r w:rsidR="00AE53FD">
        <w:t xml:space="preserve">we expected those who supported military action to show this focus. </w:t>
      </w:r>
      <w:r w:rsidR="00F52CBB">
        <w:t xml:space="preserve">However, the results could be explained by the situation posed by the particular resolution. </w:t>
      </w:r>
      <w:r w:rsidR="00E3516D">
        <w:t xml:space="preserve">In this conflict, rather than responding to an act of aggression or a perceived threat, the U.S. was deciding the extent to which the U.S. would be involved in </w:t>
      </w:r>
      <w:r w:rsidR="00FA58FD">
        <w:t xml:space="preserve">ongoing NATO, </w:t>
      </w:r>
      <w:commentRangeStart w:id="11"/>
      <w:r w:rsidR="00FA58FD">
        <w:t>a treaty organization of which the U.S. is a member</w:t>
      </w:r>
      <w:commentRangeEnd w:id="11"/>
      <w:r w:rsidR="008A6CC3">
        <w:rPr>
          <w:rStyle w:val="CommentReference"/>
        </w:rPr>
        <w:commentReference w:id="11"/>
      </w:r>
      <w:r w:rsidR="00FA58FD">
        <w:t xml:space="preserve">, operations in Kosovo and Serbia. </w:t>
      </w:r>
      <w:commentRangeStart w:id="12"/>
      <w:r w:rsidR="003D76F1">
        <w:t>It is possible that some viewed the outgroup as NATO rather than Serbians</w:t>
      </w:r>
      <w:commentRangeEnd w:id="12"/>
      <w:r w:rsidR="00A744FC">
        <w:rPr>
          <w:rStyle w:val="CommentReference"/>
        </w:rPr>
        <w:commentReference w:id="12"/>
      </w:r>
      <w:r w:rsidR="003C437C">
        <w:t xml:space="preserve">. In this case, with no clear, immediate threat to the U.S., for those making </w:t>
      </w:r>
      <w:proofErr w:type="spellStart"/>
      <w:r w:rsidR="003C437C">
        <w:t>ingroup</w:t>
      </w:r>
      <w:proofErr w:type="spellEnd"/>
      <w:r w:rsidR="003C437C">
        <w:t xml:space="preserve">-outgroup distinctions, protecting the </w:t>
      </w:r>
      <w:proofErr w:type="spellStart"/>
      <w:r w:rsidR="003C437C">
        <w:t>ingroup</w:t>
      </w:r>
      <w:proofErr w:type="spellEnd"/>
      <w:r w:rsidR="003C437C">
        <w:t xml:space="preserve"> may have meant opposing the war rather than supporting it.</w:t>
      </w:r>
      <w:r w:rsidR="0011331F">
        <w:t xml:space="preserve"> </w:t>
      </w:r>
      <w:r w:rsidR="00C44356">
        <w:t xml:space="preserve">In order to determine </w:t>
      </w:r>
      <w:r w:rsidR="000D07E0">
        <w:t>if the situation surrounding the Kosovo conflict may have impacted the first study, we next turned to examine the Iraq War which was had more support and also represented a possible clear threat to the U.S.</w:t>
      </w:r>
    </w:p>
    <w:p w14:paraId="4A166386" w14:textId="77777777" w:rsidR="00C727C2" w:rsidRPr="00E05BDF" w:rsidRDefault="00C727C2" w:rsidP="00E05BDF">
      <w:pPr>
        <w:jc w:val="center"/>
        <w:rPr>
          <w:b/>
        </w:rPr>
      </w:pPr>
      <w:r w:rsidRPr="00E05BDF">
        <w:rPr>
          <w:b/>
        </w:rPr>
        <w:t>Study 2a</w:t>
      </w:r>
    </w:p>
    <w:p w14:paraId="57F4D88E" w14:textId="37C1F9F8" w:rsidR="00C727C2" w:rsidRDefault="0083501D" w:rsidP="0083501D">
      <w:pPr>
        <w:ind w:firstLine="720"/>
      </w:pPr>
      <w:r>
        <w:t>In this next study, we examine the debate preceding the congressional approval of the use of military force against Iraq. Regime change had been a long</w:t>
      </w:r>
      <w:r w:rsidR="00BD6D84">
        <w:t xml:space="preserve">-standing </w:t>
      </w:r>
      <w:r w:rsidR="00F33840">
        <w:t xml:space="preserve">position </w:t>
      </w:r>
      <w:r>
        <w:t xml:space="preserve">of the U.S. toward Iraq following the Gulf War; however serious military action was not considered until after </w:t>
      </w:r>
      <w:r w:rsidR="00531BBB">
        <w:t>the World Trade Center attacks on September 11, 2001</w:t>
      </w:r>
      <w:r>
        <w:t xml:space="preserve">. </w:t>
      </w:r>
      <w:r w:rsidR="009172C7">
        <w:t>In 2002, President Bush declared Iraq part of an “axis of evil” in his State of the Union address. Iraq’s repeated violations</w:t>
      </w:r>
      <w:r w:rsidR="00D41353">
        <w:t xml:space="preserve"> of nuclear arms agreements, </w:t>
      </w:r>
      <w:r w:rsidR="009172C7">
        <w:t>ties to terrorist organizations</w:t>
      </w:r>
      <w:r w:rsidR="00D41353">
        <w:t xml:space="preserve">, and pursuit of weapons of mass destruction </w:t>
      </w:r>
      <w:r w:rsidR="0044681C">
        <w:t>were argued by the Bush A</w:t>
      </w:r>
      <w:r w:rsidR="009172C7">
        <w:t xml:space="preserve">dministration to potentially pose a major threat to U.S. national security. </w:t>
      </w:r>
      <w:r w:rsidR="00A70B68">
        <w:t>This prompted the debate within Congress as to whether or not to approve President Bush’s request for military action</w:t>
      </w:r>
      <w:r w:rsidR="005607D2">
        <w:t xml:space="preserve"> (</w:t>
      </w:r>
      <w:proofErr w:type="spellStart"/>
      <w:r w:rsidR="005607D2">
        <w:t>Katzman</w:t>
      </w:r>
      <w:proofErr w:type="spellEnd"/>
      <w:r w:rsidR="005607D2">
        <w:t>, 2002)</w:t>
      </w:r>
      <w:r w:rsidR="00A70B68">
        <w:t xml:space="preserve">. </w:t>
      </w:r>
      <w:r>
        <w:t xml:space="preserve">These studies are to determine if </w:t>
      </w:r>
      <w:r w:rsidR="004B21F5">
        <w:t xml:space="preserve">the findings from the first study extend to a different conflict. </w:t>
      </w:r>
      <w:r w:rsidR="00DC23DD">
        <w:t xml:space="preserve">Specifically, in the first part of this </w:t>
      </w:r>
      <w:r w:rsidR="00DC23DD">
        <w:lastRenderedPageBreak/>
        <w:t xml:space="preserve">study, we examined the debate in the House of Representatives to determine </w:t>
      </w:r>
      <w:r w:rsidR="002E4D5E">
        <w:t xml:space="preserve">if </w:t>
      </w:r>
      <w:r w:rsidR="0044681C">
        <w:t>members of Congress</w:t>
      </w:r>
      <w:r w:rsidR="00726353">
        <w:t xml:space="preserve"> who supported taking military action used more self and future references. </w:t>
      </w:r>
    </w:p>
    <w:p w14:paraId="6724A75C" w14:textId="77777777" w:rsidR="00FD7D02" w:rsidRDefault="00FD7D02" w:rsidP="00FD7D02">
      <w:pPr>
        <w:jc w:val="center"/>
        <w:rPr>
          <w:b/>
        </w:rPr>
      </w:pPr>
      <w:r>
        <w:rPr>
          <w:b/>
        </w:rPr>
        <w:t>Methods</w:t>
      </w:r>
    </w:p>
    <w:p w14:paraId="04356438" w14:textId="0BF995E0" w:rsidR="00FD7D02" w:rsidRPr="00950926" w:rsidRDefault="00FD7D02" w:rsidP="00FD7D02">
      <w:r>
        <w:rPr>
          <w:b/>
        </w:rPr>
        <w:tab/>
      </w:r>
      <w:r>
        <w:t xml:space="preserve">Once again using the Government Publishing Office, speeches given in the House of Representatives pertaining to the use of U.S. military force against Iraq in the three months before the vote on House Joint Resolution 114 on October 10, 2002. </w:t>
      </w:r>
      <w:r w:rsidR="002C2EF1">
        <w:t xml:space="preserve">This bill passed the House with a 296-133 majority; with most Republicans supporting the measure and 60% of Democrats opposing. </w:t>
      </w:r>
      <w:r w:rsidR="005D4DFF">
        <w:t>A total of 617 speeches were collected</w:t>
      </w:r>
      <w:r w:rsidR="00AF544A">
        <w:t xml:space="preserve"> representing 234 unique speakers</w:t>
      </w:r>
      <w:r w:rsidR="005D4DFF">
        <w:t>.</w:t>
      </w:r>
      <w:r w:rsidR="00AF544A">
        <w:t xml:space="preserve"> Of these speeches, 155 speeches were made by Democrats and 119 were made by Republicans. </w:t>
      </w:r>
      <w:r w:rsidR="00950926">
        <w:t>The average word count of the speeches was 742.34 (</w:t>
      </w:r>
      <w:r w:rsidR="00950926">
        <w:rPr>
          <w:i/>
        </w:rPr>
        <w:t xml:space="preserve">SD </w:t>
      </w:r>
      <w:r w:rsidR="00950926">
        <w:t xml:space="preserve">= 1053.45). </w:t>
      </w:r>
    </w:p>
    <w:p w14:paraId="0F526C1F" w14:textId="77777777" w:rsidR="00FD7D02" w:rsidRDefault="00FD7D02" w:rsidP="00FD7D02">
      <w:pPr>
        <w:jc w:val="center"/>
        <w:rPr>
          <w:b/>
        </w:rPr>
      </w:pPr>
      <w:r>
        <w:rPr>
          <w:b/>
        </w:rPr>
        <w:t>Results</w:t>
      </w:r>
    </w:p>
    <w:p w14:paraId="680AA871" w14:textId="0CB7F8C9" w:rsidR="00A138AC" w:rsidRPr="00995E13" w:rsidRDefault="00A138AC" w:rsidP="00A138AC">
      <w:r>
        <w:tab/>
        <w:t xml:space="preserve">As in the first study, bootstrapped means and confidence intervals as well as effect sizes (Cohen’s </w:t>
      </w:r>
      <w:r>
        <w:rPr>
          <w:i/>
        </w:rPr>
        <w:t>d</w:t>
      </w:r>
      <w:r>
        <w:t xml:space="preserve">) were calculated </w:t>
      </w:r>
      <w:r w:rsidR="00913FCC">
        <w:t>for speeches of those supporting the measure versus those opposing the measure for the following LIWC categories:</w:t>
      </w:r>
      <w:r w:rsidR="00D61B43">
        <w:t xml:space="preserve"> first-person singular (</w:t>
      </w:r>
      <w:r w:rsidR="00D61B43">
        <w:rPr>
          <w:i/>
        </w:rPr>
        <w:t>I</w:t>
      </w:r>
      <w:r w:rsidR="00D61B43">
        <w:t>), first-person plural (</w:t>
      </w:r>
      <w:r w:rsidR="00D61B43">
        <w:rPr>
          <w:i/>
        </w:rPr>
        <w:t>we</w:t>
      </w:r>
      <w:r w:rsidR="00D61B43">
        <w:t>), third-person singular (</w:t>
      </w:r>
      <w:r w:rsidR="00D61B43">
        <w:rPr>
          <w:i/>
        </w:rPr>
        <w:t>he, she</w:t>
      </w:r>
      <w:r w:rsidR="00D61B43">
        <w:t>), third-person plural (</w:t>
      </w:r>
      <w:r w:rsidR="00D61B43">
        <w:rPr>
          <w:i/>
        </w:rPr>
        <w:t>they</w:t>
      </w:r>
      <w:r w:rsidR="00D61B43">
        <w:t>), past-tense, present-tense, and future tense.</w:t>
      </w:r>
      <w:r w:rsidR="00995E13">
        <w:t xml:space="preserve"> </w:t>
      </w:r>
      <w:r w:rsidR="00893573">
        <w:t xml:space="preserve">Results can be seen as a forest plot in Figure 3. </w:t>
      </w:r>
      <w:r w:rsidR="00995E13">
        <w:t>A sizable difference emerged in the use of third-person singular pronouns (</w:t>
      </w:r>
      <w:r w:rsidR="00995E13">
        <w:rPr>
          <w:i/>
        </w:rPr>
        <w:t xml:space="preserve">d </w:t>
      </w:r>
      <w:r w:rsidR="00995E13">
        <w:t xml:space="preserve">= .82). </w:t>
      </w:r>
      <w:r w:rsidR="00F72C83">
        <w:t>Representatives</w:t>
      </w:r>
      <w:r w:rsidR="002F6160">
        <w:t xml:space="preserve"> who supported </w:t>
      </w:r>
      <w:r w:rsidR="00681321">
        <w:t>the military measure used other references at a higher rate than those who opposed taking military action.</w:t>
      </w:r>
    </w:p>
    <w:p w14:paraId="7BECE651" w14:textId="77777777" w:rsidR="00C727C2" w:rsidRDefault="00C727C2" w:rsidP="00E05BDF">
      <w:pPr>
        <w:jc w:val="center"/>
        <w:rPr>
          <w:b/>
        </w:rPr>
      </w:pPr>
      <w:r w:rsidRPr="00E05BDF">
        <w:rPr>
          <w:b/>
        </w:rPr>
        <w:t>Study 2b</w:t>
      </w:r>
    </w:p>
    <w:p w14:paraId="4A4CA783" w14:textId="08CFFD9B" w:rsidR="00EB2266" w:rsidRPr="00EB2266" w:rsidRDefault="00EB2266" w:rsidP="00EB2266">
      <w:r>
        <w:rPr>
          <w:b/>
        </w:rPr>
        <w:tab/>
      </w:r>
      <w:r>
        <w:t xml:space="preserve">In the second part of this study, we </w:t>
      </w:r>
      <w:r w:rsidR="00E96704">
        <w:t>examined the debate in the Senate. We wished to determine if</w:t>
      </w:r>
      <w:r w:rsidR="00F72C83">
        <w:t>,</w:t>
      </w:r>
      <w:r w:rsidR="00E96704">
        <w:t xml:space="preserve"> like senators who opposed military action in Kosovo, senators who opposed action against Iraq used more group references as well as more reference to current events. </w:t>
      </w:r>
    </w:p>
    <w:p w14:paraId="79C3309E" w14:textId="77777777" w:rsidR="00976C25" w:rsidRDefault="00976C25" w:rsidP="00976C25">
      <w:pPr>
        <w:jc w:val="center"/>
        <w:rPr>
          <w:b/>
        </w:rPr>
      </w:pPr>
      <w:r>
        <w:rPr>
          <w:b/>
        </w:rPr>
        <w:t>Method</w:t>
      </w:r>
    </w:p>
    <w:p w14:paraId="502D0A0B" w14:textId="77777777" w:rsidR="00976C25" w:rsidRPr="008859D8" w:rsidRDefault="00976C25" w:rsidP="00976C25">
      <w:r>
        <w:rPr>
          <w:b/>
        </w:rPr>
        <w:lastRenderedPageBreak/>
        <w:tab/>
      </w:r>
      <w:r w:rsidR="00FC784D">
        <w:t xml:space="preserve">In this part of the study, </w:t>
      </w:r>
      <w:r w:rsidR="00340AC5">
        <w:t xml:space="preserve">speeches from the Senate were gathered </w:t>
      </w:r>
      <w:r w:rsidR="006D23A4">
        <w:t xml:space="preserve">for the 6 months before the Senate vote on House Joint Resolution 114 conducted on October 11, 2002. </w:t>
      </w:r>
      <w:r w:rsidR="0088503F">
        <w:t>The bill passed with a 77-23 majority.</w:t>
      </w:r>
      <w:r w:rsidR="00832AD1">
        <w:t xml:space="preserve"> All but one Republican supported the measure as did 58% of Democrats.</w:t>
      </w:r>
      <w:r w:rsidR="0088503F">
        <w:t xml:space="preserve"> </w:t>
      </w:r>
      <w:r w:rsidR="007D4667">
        <w:t>In total, 243 speeches were collected representing 86 unique speakers.</w:t>
      </w:r>
      <w:r w:rsidR="0088503F">
        <w:t xml:space="preserve"> </w:t>
      </w:r>
      <w:r w:rsidR="003E3E40">
        <w:t xml:space="preserve">Of these speeches, 73 were given by Democrats and 64 by Republicans. </w:t>
      </w:r>
      <w:r w:rsidR="008859D8">
        <w:t>The average word count for these speeches were 1991.23 (</w:t>
      </w:r>
      <w:r w:rsidR="008859D8">
        <w:rPr>
          <w:i/>
        </w:rPr>
        <w:t xml:space="preserve">SD </w:t>
      </w:r>
      <w:r w:rsidR="008859D8">
        <w:t xml:space="preserve">= 1671.70). </w:t>
      </w:r>
    </w:p>
    <w:p w14:paraId="6AE73085" w14:textId="77777777" w:rsidR="00976C25" w:rsidRDefault="00976C25" w:rsidP="00976C25">
      <w:pPr>
        <w:jc w:val="center"/>
        <w:rPr>
          <w:b/>
        </w:rPr>
      </w:pPr>
      <w:r>
        <w:rPr>
          <w:b/>
        </w:rPr>
        <w:t>Results</w:t>
      </w:r>
    </w:p>
    <w:p w14:paraId="423D4711" w14:textId="7520EBC8" w:rsidR="00236CE1" w:rsidRDefault="00236CE1" w:rsidP="00236CE1">
      <w:r>
        <w:rPr>
          <w:b/>
        </w:rPr>
        <w:tab/>
      </w:r>
      <w:r w:rsidR="004C3708">
        <w:t xml:space="preserve">Analyses </w:t>
      </w:r>
      <w:r w:rsidR="00C77A5A">
        <w:t>were</w:t>
      </w:r>
      <w:r w:rsidR="004C3708">
        <w:t xml:space="preserve"> conducted in the same manner as the first part of the study to determine differences</w:t>
      </w:r>
      <w:r w:rsidR="00DB1F04">
        <w:t xml:space="preserve"> between supporters and </w:t>
      </w:r>
      <w:r w:rsidR="00F72C83">
        <w:t>opponents</w:t>
      </w:r>
      <w:r w:rsidR="00DB1F04">
        <w:t xml:space="preserve"> of military action in Iraq in terms of the use of first-person singular (</w:t>
      </w:r>
      <w:r w:rsidR="00DB1F04">
        <w:rPr>
          <w:i/>
        </w:rPr>
        <w:t>I</w:t>
      </w:r>
      <w:r w:rsidR="00DB1F04">
        <w:t>), first-person plural (</w:t>
      </w:r>
      <w:r w:rsidR="00DB1F04">
        <w:rPr>
          <w:i/>
        </w:rPr>
        <w:t>we</w:t>
      </w:r>
      <w:r w:rsidR="00DB1F04">
        <w:t>), third-person singular (</w:t>
      </w:r>
      <w:r w:rsidR="00DB1F04">
        <w:rPr>
          <w:i/>
        </w:rPr>
        <w:t>he, she</w:t>
      </w:r>
      <w:r w:rsidR="00DB1F04">
        <w:t>), third-person plural (</w:t>
      </w:r>
      <w:r w:rsidR="00DB1F04">
        <w:rPr>
          <w:i/>
        </w:rPr>
        <w:t>they</w:t>
      </w:r>
      <w:r w:rsidR="00DB1F04">
        <w:t xml:space="preserve">), past-tense, present-tense, and future tense. </w:t>
      </w:r>
      <w:r w:rsidR="00E112D6">
        <w:t xml:space="preserve">Figure 4 displays these results as a forest plot. </w:t>
      </w:r>
      <w:r w:rsidR="00D551B6">
        <w:t>A sizable difference was found in the use of third-person singular pronouns (</w:t>
      </w:r>
      <w:r w:rsidR="00D551B6">
        <w:rPr>
          <w:i/>
        </w:rPr>
        <w:t xml:space="preserve">d </w:t>
      </w:r>
      <w:r w:rsidR="00D551B6">
        <w:t>= 1.15) as well as a small difference in the use of past tense verbs (</w:t>
      </w:r>
      <w:r w:rsidR="00D551B6">
        <w:rPr>
          <w:i/>
        </w:rPr>
        <w:t xml:space="preserve">d </w:t>
      </w:r>
      <w:r w:rsidR="00D551B6">
        <w:t>= .55).</w:t>
      </w:r>
      <w:r w:rsidR="007031D7">
        <w:t xml:space="preserve"> Senators who supported the military measure tended to use more other references as well </w:t>
      </w:r>
      <w:r w:rsidR="00F72C83">
        <w:t xml:space="preserve">so </w:t>
      </w:r>
      <w:r w:rsidR="007031D7">
        <w:t xml:space="preserve">as to be slightly more oriented to past events. </w:t>
      </w:r>
      <w:r w:rsidR="00D551B6">
        <w:t xml:space="preserve"> </w:t>
      </w:r>
    </w:p>
    <w:p w14:paraId="43DC2E9E" w14:textId="77777777" w:rsidR="0075611A" w:rsidRDefault="0075611A" w:rsidP="0075611A">
      <w:pPr>
        <w:jc w:val="center"/>
        <w:rPr>
          <w:b/>
        </w:rPr>
      </w:pPr>
      <w:r>
        <w:rPr>
          <w:b/>
        </w:rPr>
        <w:t>Discussion</w:t>
      </w:r>
    </w:p>
    <w:p w14:paraId="70F53C43" w14:textId="18F6ACE4" w:rsidR="007F7F7C" w:rsidRDefault="007F7F7C" w:rsidP="007F7F7C">
      <w:r>
        <w:rPr>
          <w:b/>
        </w:rPr>
        <w:tab/>
      </w:r>
      <w:r>
        <w:t>The results from this second study more closely matched our hypotheses</w:t>
      </w:r>
      <w:r w:rsidR="00FA1D03">
        <w:t xml:space="preserve">. </w:t>
      </w:r>
      <w:r w:rsidR="00AE734D">
        <w:t xml:space="preserve">For both the House and Senate, members of Congress who supported taking military action </w:t>
      </w:r>
      <w:r w:rsidR="00657B51">
        <w:t>used more singular third person pronouns (</w:t>
      </w:r>
      <w:r w:rsidR="00657B51">
        <w:rPr>
          <w:i/>
        </w:rPr>
        <w:t>he, his</w:t>
      </w:r>
      <w:r w:rsidR="00657B51">
        <w:t xml:space="preserve">) than those who opposed taking military action. </w:t>
      </w:r>
      <w:r w:rsidR="00767935">
        <w:t>Contrary to our hypothesis, no differences were found for plural third person pronouns (</w:t>
      </w:r>
      <w:r w:rsidR="00767935">
        <w:rPr>
          <w:i/>
        </w:rPr>
        <w:t>they, theirs</w:t>
      </w:r>
      <w:r w:rsidR="00767935">
        <w:t>)</w:t>
      </w:r>
      <w:r w:rsidR="008E2425">
        <w:t xml:space="preserve"> meaning those who supported taking action made more references to others as specific individuals </w:t>
      </w:r>
      <w:r w:rsidR="00F72C83">
        <w:t>and</w:t>
      </w:r>
      <w:r w:rsidR="008E2425">
        <w:t xml:space="preserve"> not as groups. </w:t>
      </w:r>
      <w:r w:rsidR="002376FE">
        <w:t>Although</w:t>
      </w:r>
      <w:r w:rsidR="006B016F">
        <w:t xml:space="preserve"> this was not quite the result we expected</w:t>
      </w:r>
      <w:r w:rsidR="002376FE">
        <w:t xml:space="preserve">, these differences make sense in light of the situation. In the case of the Iraq War, the threat was seen </w:t>
      </w:r>
      <w:r w:rsidR="002376FE">
        <w:lastRenderedPageBreak/>
        <w:t>not as a group of people but rather</w:t>
      </w:r>
      <w:r w:rsidR="00FD24D3">
        <w:t xml:space="preserve"> a single individual, Saddam Hu</w:t>
      </w:r>
      <w:r w:rsidR="002376FE">
        <w:t xml:space="preserve">ssein. </w:t>
      </w:r>
      <w:r w:rsidR="00FD24D3">
        <w:t xml:space="preserve">Hence, for supporters of military action, their focus was still external as </w:t>
      </w:r>
      <w:r w:rsidR="00F72C83">
        <w:t>was</w:t>
      </w:r>
      <w:r w:rsidR="00FD24D3">
        <w:t xml:space="preserve"> expected (Abe, 2102; </w:t>
      </w:r>
      <w:proofErr w:type="spellStart"/>
      <w:r w:rsidR="00FD24D3">
        <w:t>Matasumoto</w:t>
      </w:r>
      <w:proofErr w:type="spellEnd"/>
      <w:r w:rsidR="00FD24D3">
        <w:t xml:space="preserve"> &amp; Hwang, 2015); however, their focus was on an individual rather than a group. </w:t>
      </w:r>
    </w:p>
    <w:p w14:paraId="0B15C084" w14:textId="77777777" w:rsidR="009C1E0F" w:rsidRPr="00767935" w:rsidRDefault="009C1E0F" w:rsidP="007F7F7C">
      <w:r>
        <w:tab/>
      </w:r>
      <w:r w:rsidR="0015005E">
        <w:t>The second hypothesis was partially supported. In the Senate, those who supported taking military action</w:t>
      </w:r>
      <w:r w:rsidR="00DF348B">
        <w:t xml:space="preserve"> used more references to the past than those opposed to military action. However, this difference was not found in the House. </w:t>
      </w:r>
      <w:r w:rsidR="007913FA">
        <w:t>As was stated previously, this difference in results could be due to voting procedures or compositional differences in the House and Senate.</w:t>
      </w:r>
      <w:r w:rsidR="004C5817">
        <w:t xml:space="preserve"> As a final test of our hypotheses, we examined the Congressional deba</w:t>
      </w:r>
      <w:r w:rsidR="004D0EDC">
        <w:t>te surrounding U.S. involvement in Libya during its 2011 civil war.</w:t>
      </w:r>
      <w:r w:rsidR="004B0B80">
        <w:t xml:space="preserve"> We expect to find similar results to Study 1 as, like the Kosovo war, there was less support for U.S. military involvement as well as a lack of a perceived clear, immediate threat to the U.S.</w:t>
      </w:r>
    </w:p>
    <w:p w14:paraId="5C874A43" w14:textId="77777777" w:rsidR="00F02E1C" w:rsidRDefault="00C727C2" w:rsidP="00F02E1C">
      <w:pPr>
        <w:jc w:val="center"/>
        <w:rPr>
          <w:b/>
        </w:rPr>
      </w:pPr>
      <w:r w:rsidRPr="00E05BDF">
        <w:rPr>
          <w:b/>
        </w:rPr>
        <w:t>S</w:t>
      </w:r>
      <w:r w:rsidR="002767F1">
        <w:rPr>
          <w:b/>
        </w:rPr>
        <w:t>tudy 3</w:t>
      </w:r>
    </w:p>
    <w:p w14:paraId="4D38E307" w14:textId="77777777" w:rsidR="0009139F" w:rsidRPr="0009139F" w:rsidRDefault="0009139F" w:rsidP="0009139F">
      <w:r>
        <w:rPr>
          <w:b/>
        </w:rPr>
        <w:tab/>
      </w:r>
      <w:r>
        <w:t xml:space="preserve">In this final study, we examine the debate in the House of Representatives </w:t>
      </w:r>
      <w:r w:rsidR="00F704B0">
        <w:t xml:space="preserve">surrounding U.S. military involvement in Libya during its revolution. </w:t>
      </w:r>
      <w:r w:rsidR="006A62AC">
        <w:t>In February 2011, a revolt against Libyan dictator, Muammar Qaddafi, pro</w:t>
      </w:r>
      <w:r w:rsidR="00DE6D31">
        <w:t xml:space="preserve">mpted the intervention of NATO when Qaddafi violently suppressed all opposition. </w:t>
      </w:r>
      <w:r w:rsidR="00AA5DE6">
        <w:t xml:space="preserve">The involvement of NATO </w:t>
      </w:r>
      <w:r w:rsidR="006D7307">
        <w:t>lead to debate within Congress as to the exact role of the U.S. in military operations in Libya and the extent of U.S involvement</w:t>
      </w:r>
      <w:r w:rsidR="004057DE">
        <w:t xml:space="preserve"> (Blanchard, 2011)</w:t>
      </w:r>
      <w:r w:rsidR="006D7307">
        <w:t>.</w:t>
      </w:r>
      <w:r w:rsidR="004057DE">
        <w:t xml:space="preserve"> </w:t>
      </w:r>
      <w:r w:rsidR="003E7934">
        <w:t xml:space="preserve">In examining this debate, we wished to determine if </w:t>
      </w:r>
      <w:r w:rsidR="00325A9D">
        <w:t xml:space="preserve">the language of those who supported or opposed military action was similar to those of either of the first two studies. </w:t>
      </w:r>
      <w:r w:rsidR="006D7307">
        <w:t xml:space="preserve">  </w:t>
      </w:r>
    </w:p>
    <w:p w14:paraId="1A6A5298" w14:textId="77777777" w:rsidR="00F02E1C" w:rsidRDefault="00F02E1C" w:rsidP="00F02E1C">
      <w:pPr>
        <w:jc w:val="center"/>
        <w:rPr>
          <w:b/>
        </w:rPr>
      </w:pPr>
      <w:r>
        <w:rPr>
          <w:b/>
        </w:rPr>
        <w:t>Method</w:t>
      </w:r>
    </w:p>
    <w:p w14:paraId="7BEF5CE5" w14:textId="77777777" w:rsidR="002767F1" w:rsidRPr="00604241" w:rsidRDefault="002767F1" w:rsidP="002767F1">
      <w:r>
        <w:rPr>
          <w:b/>
        </w:rPr>
        <w:tab/>
      </w:r>
      <w:r>
        <w:t xml:space="preserve">In this final study, </w:t>
      </w:r>
      <w:r w:rsidR="00CF45F5">
        <w:t xml:space="preserve">the Congressional Record was searched for speeches given in the House of Representatives pertaining to </w:t>
      </w:r>
      <w:r w:rsidR="006D5821">
        <w:t xml:space="preserve">the debate of the authorization of military action against Libya in the three months before the vote on </w:t>
      </w:r>
      <w:r w:rsidR="00E63779">
        <w:t>House Joint Resolution 68 on June 24, 2011.</w:t>
      </w:r>
      <w:r w:rsidR="00FE4A74">
        <w:t xml:space="preserve"> </w:t>
      </w:r>
      <w:r w:rsidR="00FD6A9F">
        <w:t xml:space="preserve">The </w:t>
      </w:r>
      <w:r w:rsidR="00FD6A9F">
        <w:lastRenderedPageBreak/>
        <w:t xml:space="preserve">bill failed in the House 123-295. </w:t>
      </w:r>
      <w:r w:rsidR="0024337B">
        <w:t xml:space="preserve">All but 14 Republicans voted against the resolution while 60% of Democrats supported the resolution. </w:t>
      </w:r>
      <w:r w:rsidR="00FE4A74">
        <w:t xml:space="preserve">A total of 104 speeches were collected representing </w:t>
      </w:r>
      <w:r w:rsidR="00FD6A9F">
        <w:t xml:space="preserve">76 unique speakers. </w:t>
      </w:r>
      <w:r w:rsidR="00BA5BB2">
        <w:t>Democrats made 53 of these speeches while 51 speeches were made by Republicans.</w:t>
      </w:r>
      <w:r w:rsidR="004D2D4C">
        <w:t xml:space="preserve"> </w:t>
      </w:r>
      <w:r w:rsidR="00604241">
        <w:t>The average word count for these speeches was 465.93 (</w:t>
      </w:r>
      <w:r w:rsidR="00604241">
        <w:rPr>
          <w:i/>
        </w:rPr>
        <w:t xml:space="preserve">SD </w:t>
      </w:r>
      <w:r w:rsidR="00604241">
        <w:t xml:space="preserve">= 477.41). </w:t>
      </w:r>
      <w:r w:rsidR="004C65DC">
        <w:t>As the resolution failed in the House, it was not possible to examine this debate in the Senate.</w:t>
      </w:r>
    </w:p>
    <w:p w14:paraId="28CBA891" w14:textId="77777777" w:rsidR="00F02E1C" w:rsidRDefault="00F02E1C" w:rsidP="00F02E1C">
      <w:pPr>
        <w:jc w:val="center"/>
        <w:rPr>
          <w:b/>
        </w:rPr>
      </w:pPr>
      <w:r>
        <w:rPr>
          <w:b/>
        </w:rPr>
        <w:t>Results</w:t>
      </w:r>
    </w:p>
    <w:p w14:paraId="280E8164" w14:textId="77777777" w:rsidR="00F02E1C" w:rsidRPr="000B0DB9" w:rsidRDefault="000B0DB9" w:rsidP="000B0DB9">
      <w:r>
        <w:tab/>
        <w:t>As in the first two studies, analyses consisted on comparing the bootstrapped means, CIs, and effects sizes for those who supported the military measu</w:t>
      </w:r>
      <w:r w:rsidR="001F1A3C">
        <w:t xml:space="preserve">re versus those who opposed it on the following linguistic measures: </w:t>
      </w:r>
      <w:r w:rsidR="009E78C9">
        <w:t>first-person singular (</w:t>
      </w:r>
      <w:r w:rsidR="009E78C9">
        <w:rPr>
          <w:i/>
        </w:rPr>
        <w:t>I</w:t>
      </w:r>
      <w:r w:rsidR="009E78C9">
        <w:t>), first-person plural (</w:t>
      </w:r>
      <w:r w:rsidR="009E78C9">
        <w:rPr>
          <w:i/>
        </w:rPr>
        <w:t>we</w:t>
      </w:r>
      <w:r w:rsidR="009E78C9">
        <w:t>), third-person singular (</w:t>
      </w:r>
      <w:r w:rsidR="009E78C9">
        <w:rPr>
          <w:i/>
        </w:rPr>
        <w:t>he, she</w:t>
      </w:r>
      <w:r w:rsidR="009E78C9">
        <w:t>), third-person plural (</w:t>
      </w:r>
      <w:r w:rsidR="009E78C9">
        <w:rPr>
          <w:i/>
        </w:rPr>
        <w:t>they</w:t>
      </w:r>
      <w:r w:rsidR="009E78C9">
        <w:t>), past-tense, present-tense, and future tense.</w:t>
      </w:r>
      <w:r w:rsidR="001000FA">
        <w:t xml:space="preserve"> </w:t>
      </w:r>
      <w:r w:rsidR="00E17BC0">
        <w:t xml:space="preserve">These results are displayed in Figure 5 as a forest plot. </w:t>
      </w:r>
      <w:r w:rsidR="001000FA">
        <w:t xml:space="preserve">No differences emerged on any measure. </w:t>
      </w:r>
    </w:p>
    <w:p w14:paraId="4F86B471" w14:textId="77777777" w:rsidR="00F6324B" w:rsidRDefault="00F6324B" w:rsidP="00F6324B">
      <w:pPr>
        <w:jc w:val="center"/>
        <w:rPr>
          <w:b/>
        </w:rPr>
      </w:pPr>
      <w:r>
        <w:rPr>
          <w:b/>
        </w:rPr>
        <w:t>Discussion</w:t>
      </w:r>
    </w:p>
    <w:p w14:paraId="7DC52817" w14:textId="69C69048" w:rsidR="004C65DC" w:rsidRPr="00C8261E" w:rsidRDefault="00C8261E" w:rsidP="00C8261E">
      <w:r>
        <w:rPr>
          <w:b/>
        </w:rPr>
        <w:tab/>
      </w:r>
      <w:r>
        <w:t>As expected, no attentional differences between those who supported and opposed taking military action in Libya in the House of Representatives</w:t>
      </w:r>
      <w:r w:rsidR="00402361">
        <w:t xml:space="preserve"> were found</w:t>
      </w:r>
      <w:r>
        <w:t xml:space="preserve">. </w:t>
      </w:r>
      <w:r w:rsidR="00724263">
        <w:t xml:space="preserve">This could indicate that in situations where there is less Congressional support for military action and no clear, immediate threat to the U.S., the difference between support and opposition for military action is not a matter of attention but </w:t>
      </w:r>
      <w:commentRangeStart w:id="13"/>
      <w:r w:rsidR="00724263">
        <w:t>something else entirely</w:t>
      </w:r>
      <w:commentRangeEnd w:id="13"/>
      <w:r w:rsidR="00402361">
        <w:rPr>
          <w:rStyle w:val="CommentReference"/>
        </w:rPr>
        <w:commentReference w:id="13"/>
      </w:r>
      <w:r w:rsidR="00724263">
        <w:t xml:space="preserve">. </w:t>
      </w:r>
    </w:p>
    <w:p w14:paraId="4B0A39BF" w14:textId="77777777" w:rsidR="00B16A04" w:rsidRDefault="00F6324B" w:rsidP="00F6324B">
      <w:pPr>
        <w:jc w:val="center"/>
        <w:rPr>
          <w:b/>
        </w:rPr>
      </w:pPr>
      <w:r>
        <w:rPr>
          <w:b/>
        </w:rPr>
        <w:t>General Discussion</w:t>
      </w:r>
    </w:p>
    <w:p w14:paraId="0FA000C8" w14:textId="36FF1651" w:rsidR="00D551B6" w:rsidRDefault="00B16A04" w:rsidP="00B16A04">
      <w:r>
        <w:rPr>
          <w:b/>
        </w:rPr>
        <w:tab/>
      </w:r>
      <w:r>
        <w:t xml:space="preserve">Understanding decisions on war and peace is not a simple matter. Although attentional focus does seem to </w:t>
      </w:r>
      <w:r w:rsidR="009C5ECD">
        <w:t xml:space="preserve">be related to support and opposition war measures to some degree, this relationship depends on other situational factors which are not quite clear based on the current studies. </w:t>
      </w:r>
      <w:r w:rsidR="00E537EB">
        <w:t xml:space="preserve">Based on Abe (2012) and Matsumoto and Hwang (2015), we expected those who supported war measures to use more third person pronoun indicating a focus on the outgroup. </w:t>
      </w:r>
      <w:r w:rsidR="00E537EB">
        <w:lastRenderedPageBreak/>
        <w:t xml:space="preserve">However, results across the three studies were inconsistent </w:t>
      </w:r>
      <w:r w:rsidR="00752F09">
        <w:t xml:space="preserve">with one study mostly consistent with our expectation, one study with partially opposite results to our expectation, and one study with no </w:t>
      </w:r>
      <w:commentRangeStart w:id="14"/>
      <w:r w:rsidR="00752F09">
        <w:t>differences</w:t>
      </w:r>
      <w:commentRangeEnd w:id="14"/>
      <w:r w:rsidR="00C77A5A">
        <w:rPr>
          <w:rStyle w:val="CommentReference"/>
        </w:rPr>
        <w:commentReference w:id="14"/>
      </w:r>
      <w:r w:rsidR="00752F09">
        <w:t>.</w:t>
      </w:r>
      <w:r w:rsidR="00F66741">
        <w:t xml:space="preserve"> </w:t>
      </w:r>
      <w:r w:rsidR="00D551B6">
        <w:br w:type="page"/>
      </w:r>
    </w:p>
    <w:p w14:paraId="084AA70A" w14:textId="77777777" w:rsidR="00D551B6" w:rsidRDefault="00D551B6" w:rsidP="00D551B6">
      <w:pPr>
        <w:ind w:left="360"/>
      </w:pPr>
    </w:p>
    <w:p w14:paraId="32F6EED2" w14:textId="77777777" w:rsidR="00C32BFF" w:rsidRDefault="00C32BFF" w:rsidP="00E05BDF">
      <w:pPr>
        <w:pStyle w:val="ListParagraph"/>
      </w:pPr>
    </w:p>
    <w:p w14:paraId="4634AD01" w14:textId="77777777" w:rsidR="004B135C" w:rsidRDefault="004B135C" w:rsidP="00E05BDF">
      <w:pPr>
        <w:pStyle w:val="ListParagraph"/>
      </w:pPr>
      <w:r>
        <w:t xml:space="preserve"> </w:t>
      </w:r>
      <w:r w:rsidR="006D47FA">
        <w:rPr>
          <w:noProof/>
        </w:rPr>
        <w:drawing>
          <wp:inline distT="0" distB="0" distL="0" distR="0" wp14:anchorId="3C47EFE0" wp14:editId="2ECA3E84">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7700"/>
                    </a:xfrm>
                    <a:prstGeom prst="rect">
                      <a:avLst/>
                    </a:prstGeom>
                  </pic:spPr>
                </pic:pic>
              </a:graphicData>
            </a:graphic>
          </wp:inline>
        </w:drawing>
      </w:r>
    </w:p>
    <w:p w14:paraId="6DDDDA79" w14:textId="77777777" w:rsidR="00C32BFF" w:rsidRDefault="00BE26FD" w:rsidP="00E05BDF">
      <w:pPr>
        <w:pStyle w:val="ListParagraph"/>
        <w:rPr>
          <w:i/>
        </w:rPr>
      </w:pPr>
      <w:r>
        <w:rPr>
          <w:i/>
        </w:rPr>
        <w:t>Figure 4</w:t>
      </w:r>
    </w:p>
    <w:p w14:paraId="73134F5C" w14:textId="77777777" w:rsidR="00C32BFF" w:rsidRDefault="008A0980" w:rsidP="00E05BDF">
      <w:pPr>
        <w:pStyle w:val="ListParagraph"/>
      </w:pPr>
      <w:r>
        <w:t>Attentional Differences in Senate Speeches preceding Iraq War vote</w:t>
      </w:r>
    </w:p>
    <w:p w14:paraId="46D882EB" w14:textId="77777777" w:rsidR="00B02568" w:rsidRDefault="00D1139B" w:rsidP="00E05BDF">
      <w:pPr>
        <w:pStyle w:val="ListParagraph"/>
      </w:pPr>
      <w:r>
        <w:rPr>
          <w:noProof/>
        </w:rPr>
        <w:lastRenderedPageBreak/>
        <w:drawing>
          <wp:inline distT="0" distB="0" distL="0" distR="0" wp14:anchorId="1FCD1523" wp14:editId="19B0A89F">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7700"/>
                    </a:xfrm>
                    <a:prstGeom prst="rect">
                      <a:avLst/>
                    </a:prstGeom>
                  </pic:spPr>
                </pic:pic>
              </a:graphicData>
            </a:graphic>
          </wp:inline>
        </w:drawing>
      </w:r>
    </w:p>
    <w:p w14:paraId="7B234D01" w14:textId="77777777" w:rsidR="00B02568" w:rsidRDefault="00BE26FD" w:rsidP="00E05BDF">
      <w:pPr>
        <w:pStyle w:val="ListParagraph"/>
        <w:rPr>
          <w:i/>
        </w:rPr>
      </w:pPr>
      <w:r>
        <w:rPr>
          <w:i/>
        </w:rPr>
        <w:t>Figure 3</w:t>
      </w:r>
    </w:p>
    <w:p w14:paraId="144E2530" w14:textId="77777777" w:rsidR="00B02568" w:rsidRDefault="00B02568" w:rsidP="00E05BDF">
      <w:pPr>
        <w:pStyle w:val="ListParagraph"/>
      </w:pPr>
      <w:r>
        <w:t>Attentional Differences in House Speeches preceding Iraq War vote</w:t>
      </w:r>
    </w:p>
    <w:p w14:paraId="14F565CD" w14:textId="77777777" w:rsidR="00B23628" w:rsidRDefault="00BD6407" w:rsidP="00E05BDF">
      <w:pPr>
        <w:pStyle w:val="ListParagraph"/>
        <w:rPr>
          <w:i/>
        </w:rPr>
      </w:pPr>
      <w:r>
        <w:rPr>
          <w:noProof/>
        </w:rPr>
        <w:lastRenderedPageBreak/>
        <w:drawing>
          <wp:inline distT="0" distB="0" distL="0" distR="0" wp14:anchorId="2941AB7D" wp14:editId="575C9813">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457700"/>
                    </a:xfrm>
                    <a:prstGeom prst="rect">
                      <a:avLst/>
                    </a:prstGeom>
                  </pic:spPr>
                </pic:pic>
              </a:graphicData>
            </a:graphic>
          </wp:inline>
        </w:drawing>
      </w:r>
      <w:r w:rsidR="00BE26FD">
        <w:rPr>
          <w:i/>
        </w:rPr>
        <w:t>Figure 2</w:t>
      </w:r>
    </w:p>
    <w:p w14:paraId="254F2844" w14:textId="77777777" w:rsidR="00B23628" w:rsidRDefault="00B23628" w:rsidP="00E05BDF">
      <w:pPr>
        <w:pStyle w:val="ListParagraph"/>
      </w:pPr>
      <w:r>
        <w:t>Attentional Differences in Senat</w:t>
      </w:r>
      <w:r w:rsidR="0062342F">
        <w:t xml:space="preserve">e Speeches preceding Kosovo </w:t>
      </w:r>
      <w:r>
        <w:t>vote</w:t>
      </w:r>
    </w:p>
    <w:p w14:paraId="68C8746B" w14:textId="77777777" w:rsidR="00B23628" w:rsidRDefault="0062342F" w:rsidP="00E05BDF">
      <w:pPr>
        <w:pStyle w:val="ListParagraph"/>
        <w:rPr>
          <w:noProof/>
        </w:rPr>
      </w:pPr>
      <w:r>
        <w:rPr>
          <w:noProof/>
        </w:rPr>
        <w:lastRenderedPageBreak/>
        <w:drawing>
          <wp:inline distT="0" distB="0" distL="0" distR="0" wp14:anchorId="1642FD8D" wp14:editId="2305CC3D">
            <wp:extent cx="5943600" cy="4457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14:paraId="6D272428" w14:textId="77777777" w:rsidR="00B23628" w:rsidRDefault="00BE26FD" w:rsidP="00B23628">
      <w:pPr>
        <w:pStyle w:val="ListParagraph"/>
        <w:rPr>
          <w:i/>
        </w:rPr>
      </w:pPr>
      <w:r>
        <w:rPr>
          <w:i/>
        </w:rPr>
        <w:t>Figure 1</w:t>
      </w:r>
    </w:p>
    <w:p w14:paraId="11A2F2F8" w14:textId="77777777" w:rsidR="00B23628" w:rsidRDefault="00B23628" w:rsidP="00B23628">
      <w:pPr>
        <w:pStyle w:val="ListParagraph"/>
      </w:pPr>
      <w:r>
        <w:t>Attentional Differences in House</w:t>
      </w:r>
      <w:r w:rsidR="0062342F">
        <w:t xml:space="preserve"> Speeches preceding Kosovo</w:t>
      </w:r>
      <w:r>
        <w:t xml:space="preserve"> vote</w:t>
      </w:r>
    </w:p>
    <w:p w14:paraId="334FBEE1" w14:textId="77777777" w:rsidR="00B23628" w:rsidRDefault="004B4AE5" w:rsidP="00E05BDF">
      <w:pPr>
        <w:pStyle w:val="ListParagraph"/>
      </w:pPr>
      <w:r>
        <w:rPr>
          <w:noProof/>
        </w:rPr>
        <w:lastRenderedPageBreak/>
        <w:drawing>
          <wp:inline distT="0" distB="0" distL="0" distR="0" wp14:anchorId="3078F49C" wp14:editId="2B4CE435">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457700"/>
                    </a:xfrm>
                    <a:prstGeom prst="rect">
                      <a:avLst/>
                    </a:prstGeom>
                  </pic:spPr>
                </pic:pic>
              </a:graphicData>
            </a:graphic>
          </wp:inline>
        </w:drawing>
      </w:r>
    </w:p>
    <w:p w14:paraId="155A8CB7" w14:textId="77777777" w:rsidR="00F51753" w:rsidRDefault="00F51753" w:rsidP="00F51753">
      <w:pPr>
        <w:pStyle w:val="ListParagraph"/>
        <w:rPr>
          <w:i/>
        </w:rPr>
      </w:pPr>
      <w:r>
        <w:rPr>
          <w:i/>
        </w:rPr>
        <w:t>Figure 5</w:t>
      </w:r>
    </w:p>
    <w:p w14:paraId="4DD50D30" w14:textId="77777777" w:rsidR="00F51753" w:rsidRDefault="00F51753" w:rsidP="00F51753">
      <w:pPr>
        <w:pStyle w:val="ListParagraph"/>
      </w:pPr>
      <w:r>
        <w:t>Attentional Differences in House Speeches preceding Libya vote</w:t>
      </w:r>
    </w:p>
    <w:p w14:paraId="0167D9EF" w14:textId="77777777" w:rsidR="00A329BD" w:rsidRDefault="00A329BD">
      <w:r>
        <w:br w:type="page"/>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7"/>
        <w:gridCol w:w="1416"/>
        <w:gridCol w:w="1303"/>
        <w:gridCol w:w="984"/>
        <w:gridCol w:w="984"/>
        <w:gridCol w:w="1181"/>
        <w:gridCol w:w="1471"/>
      </w:tblGrid>
      <w:tr w:rsidR="00DC5F6D" w14:paraId="21191279" w14:textId="77777777" w:rsidTr="00653180">
        <w:tc>
          <w:tcPr>
            <w:tcW w:w="1517" w:type="dxa"/>
            <w:tcBorders>
              <w:top w:val="single" w:sz="4" w:space="0" w:color="auto"/>
              <w:bottom w:val="single" w:sz="4" w:space="0" w:color="auto"/>
            </w:tcBorders>
          </w:tcPr>
          <w:p w14:paraId="08206418" w14:textId="77777777" w:rsidR="00DC5F6D" w:rsidRDefault="00DC5F6D" w:rsidP="00653180">
            <w:pPr>
              <w:pStyle w:val="ListParagraph"/>
              <w:ind w:left="0"/>
            </w:pPr>
            <w:r>
              <w:lastRenderedPageBreak/>
              <w:t>Chamber</w:t>
            </w:r>
          </w:p>
        </w:tc>
        <w:tc>
          <w:tcPr>
            <w:tcW w:w="1416" w:type="dxa"/>
            <w:tcBorders>
              <w:top w:val="single" w:sz="4" w:space="0" w:color="auto"/>
              <w:bottom w:val="single" w:sz="4" w:space="0" w:color="auto"/>
            </w:tcBorders>
          </w:tcPr>
          <w:p w14:paraId="5DAC9E05" w14:textId="77777777" w:rsidR="00DC5F6D" w:rsidRDefault="00DC5F6D" w:rsidP="00653180">
            <w:pPr>
              <w:pStyle w:val="ListParagraph"/>
              <w:ind w:left="0"/>
            </w:pPr>
            <w:r>
              <w:t>Region</w:t>
            </w:r>
          </w:p>
        </w:tc>
        <w:tc>
          <w:tcPr>
            <w:tcW w:w="1303" w:type="dxa"/>
            <w:tcBorders>
              <w:top w:val="single" w:sz="4" w:space="0" w:color="auto"/>
              <w:bottom w:val="single" w:sz="4" w:space="0" w:color="auto"/>
            </w:tcBorders>
          </w:tcPr>
          <w:p w14:paraId="42371F17" w14:textId="77777777" w:rsidR="00DC5F6D" w:rsidRPr="00A329BD" w:rsidRDefault="00DC5F6D" w:rsidP="00653180">
            <w:pPr>
              <w:pStyle w:val="ListParagraph"/>
              <w:ind w:left="0"/>
            </w:pPr>
            <w:r>
              <w:t>Word Type</w:t>
            </w:r>
          </w:p>
        </w:tc>
        <w:tc>
          <w:tcPr>
            <w:tcW w:w="984" w:type="dxa"/>
            <w:tcBorders>
              <w:top w:val="single" w:sz="4" w:space="0" w:color="auto"/>
              <w:bottom w:val="single" w:sz="4" w:space="0" w:color="auto"/>
            </w:tcBorders>
          </w:tcPr>
          <w:p w14:paraId="57B07B7D" w14:textId="77777777" w:rsidR="00DC5F6D" w:rsidRPr="00DC5F6D" w:rsidRDefault="00DC5F6D" w:rsidP="00653180">
            <w:pPr>
              <w:pStyle w:val="ListParagraph"/>
              <w:ind w:left="0"/>
              <w:jc w:val="center"/>
              <w:rPr>
                <w:i/>
              </w:rPr>
            </w:pPr>
            <w:r>
              <w:rPr>
                <w:i/>
              </w:rPr>
              <w:t>Mean Oppose</w:t>
            </w:r>
          </w:p>
        </w:tc>
        <w:tc>
          <w:tcPr>
            <w:tcW w:w="984" w:type="dxa"/>
            <w:tcBorders>
              <w:top w:val="single" w:sz="4" w:space="0" w:color="auto"/>
              <w:bottom w:val="single" w:sz="4" w:space="0" w:color="auto"/>
            </w:tcBorders>
          </w:tcPr>
          <w:p w14:paraId="287E44DA" w14:textId="77777777" w:rsidR="00DC5F6D" w:rsidRPr="00A329BD" w:rsidRDefault="00DC5F6D" w:rsidP="00653180">
            <w:pPr>
              <w:pStyle w:val="ListParagraph"/>
              <w:ind w:left="0"/>
              <w:jc w:val="center"/>
              <w:rPr>
                <w:i/>
              </w:rPr>
            </w:pPr>
            <w:r>
              <w:rPr>
                <w:i/>
              </w:rPr>
              <w:t>Mean Support</w:t>
            </w:r>
          </w:p>
        </w:tc>
        <w:tc>
          <w:tcPr>
            <w:tcW w:w="1181" w:type="dxa"/>
            <w:tcBorders>
              <w:top w:val="single" w:sz="4" w:space="0" w:color="auto"/>
              <w:bottom w:val="single" w:sz="4" w:space="0" w:color="auto"/>
            </w:tcBorders>
          </w:tcPr>
          <w:p w14:paraId="0F241BE4" w14:textId="77777777" w:rsidR="00DC5F6D" w:rsidRPr="00A329BD" w:rsidRDefault="00DC5F6D" w:rsidP="00653180">
            <w:pPr>
              <w:pStyle w:val="ListParagraph"/>
              <w:ind w:left="0"/>
              <w:jc w:val="center"/>
              <w:rPr>
                <w:i/>
              </w:rPr>
            </w:pPr>
            <w:r w:rsidRPr="00A329BD">
              <w:rPr>
                <w:i/>
              </w:rPr>
              <w:t>d</w:t>
            </w:r>
          </w:p>
        </w:tc>
        <w:tc>
          <w:tcPr>
            <w:tcW w:w="1471" w:type="dxa"/>
            <w:tcBorders>
              <w:top w:val="single" w:sz="4" w:space="0" w:color="auto"/>
              <w:bottom w:val="single" w:sz="4" w:space="0" w:color="auto"/>
            </w:tcBorders>
          </w:tcPr>
          <w:p w14:paraId="774EB23F" w14:textId="77777777" w:rsidR="00DC5F6D" w:rsidRPr="00A329BD" w:rsidRDefault="00DC5F6D" w:rsidP="00653180">
            <w:pPr>
              <w:pStyle w:val="ListParagraph"/>
              <w:ind w:left="0"/>
              <w:jc w:val="center"/>
              <w:rPr>
                <w:i/>
              </w:rPr>
            </w:pPr>
            <w:r>
              <w:t xml:space="preserve">Average </w:t>
            </w:r>
            <w:r w:rsidRPr="00A329BD">
              <w:rPr>
                <w:i/>
              </w:rPr>
              <w:t>SD</w:t>
            </w:r>
          </w:p>
        </w:tc>
      </w:tr>
      <w:tr w:rsidR="00DC5F6D" w14:paraId="3694D282" w14:textId="77777777" w:rsidTr="00653180">
        <w:tc>
          <w:tcPr>
            <w:tcW w:w="1517" w:type="dxa"/>
            <w:tcBorders>
              <w:top w:val="single" w:sz="4" w:space="0" w:color="auto"/>
            </w:tcBorders>
          </w:tcPr>
          <w:p w14:paraId="59E681E6" w14:textId="77777777" w:rsidR="00DC5F6D" w:rsidRDefault="00DC5F6D" w:rsidP="00E05BDF">
            <w:pPr>
              <w:pStyle w:val="ListParagraph"/>
              <w:ind w:left="0"/>
            </w:pPr>
            <w:r>
              <w:t>Senate</w:t>
            </w:r>
          </w:p>
        </w:tc>
        <w:tc>
          <w:tcPr>
            <w:tcW w:w="1416" w:type="dxa"/>
            <w:tcBorders>
              <w:top w:val="single" w:sz="4" w:space="0" w:color="auto"/>
            </w:tcBorders>
          </w:tcPr>
          <w:p w14:paraId="7B123B81" w14:textId="77777777" w:rsidR="00DC5F6D" w:rsidRDefault="00DC5F6D" w:rsidP="00E05BDF">
            <w:pPr>
              <w:pStyle w:val="ListParagraph"/>
              <w:ind w:left="0"/>
            </w:pPr>
            <w:r>
              <w:t>Iraq</w:t>
            </w:r>
          </w:p>
        </w:tc>
        <w:tc>
          <w:tcPr>
            <w:tcW w:w="1303" w:type="dxa"/>
            <w:tcBorders>
              <w:top w:val="single" w:sz="4" w:space="0" w:color="auto"/>
            </w:tcBorders>
          </w:tcPr>
          <w:p w14:paraId="0581B3BC" w14:textId="77777777" w:rsidR="00DC5F6D" w:rsidRDefault="00DC5F6D" w:rsidP="00E05BDF">
            <w:pPr>
              <w:pStyle w:val="ListParagraph"/>
              <w:ind w:left="0"/>
            </w:pPr>
            <w:r>
              <w:t>I</w:t>
            </w:r>
          </w:p>
        </w:tc>
        <w:tc>
          <w:tcPr>
            <w:tcW w:w="984" w:type="dxa"/>
            <w:tcBorders>
              <w:top w:val="single" w:sz="4" w:space="0" w:color="auto"/>
            </w:tcBorders>
          </w:tcPr>
          <w:p w14:paraId="5BD8EE1D" w14:textId="77777777" w:rsidR="00DC5F6D" w:rsidRDefault="00784F06" w:rsidP="00653180">
            <w:pPr>
              <w:pStyle w:val="ListParagraph"/>
              <w:ind w:left="0"/>
              <w:jc w:val="center"/>
            </w:pPr>
            <w:r>
              <w:t>2.00</w:t>
            </w:r>
          </w:p>
        </w:tc>
        <w:tc>
          <w:tcPr>
            <w:tcW w:w="984" w:type="dxa"/>
            <w:tcBorders>
              <w:top w:val="single" w:sz="4" w:space="0" w:color="auto"/>
            </w:tcBorders>
          </w:tcPr>
          <w:p w14:paraId="2C33BEEE" w14:textId="77777777" w:rsidR="00DC5F6D" w:rsidRDefault="00784F06" w:rsidP="00653180">
            <w:pPr>
              <w:pStyle w:val="ListParagraph"/>
              <w:ind w:left="0"/>
              <w:jc w:val="center"/>
            </w:pPr>
            <w:r>
              <w:t>2.06</w:t>
            </w:r>
          </w:p>
        </w:tc>
        <w:tc>
          <w:tcPr>
            <w:tcW w:w="1181" w:type="dxa"/>
            <w:tcBorders>
              <w:top w:val="single" w:sz="4" w:space="0" w:color="auto"/>
            </w:tcBorders>
          </w:tcPr>
          <w:p w14:paraId="5830759E" w14:textId="77777777" w:rsidR="00DC5F6D" w:rsidRDefault="00DC5F6D" w:rsidP="00653180">
            <w:pPr>
              <w:pStyle w:val="ListParagraph"/>
              <w:ind w:left="0"/>
              <w:jc w:val="center"/>
            </w:pPr>
            <w:r>
              <w:t>.04</w:t>
            </w:r>
          </w:p>
        </w:tc>
        <w:tc>
          <w:tcPr>
            <w:tcW w:w="1471" w:type="dxa"/>
            <w:tcBorders>
              <w:top w:val="single" w:sz="4" w:space="0" w:color="auto"/>
            </w:tcBorders>
          </w:tcPr>
          <w:p w14:paraId="561D2156" w14:textId="77777777" w:rsidR="00DC5F6D" w:rsidRDefault="00DC5F6D" w:rsidP="00653180">
            <w:pPr>
              <w:pStyle w:val="ListParagraph"/>
              <w:ind w:left="0"/>
              <w:jc w:val="center"/>
            </w:pPr>
            <w:r>
              <w:t>1.26</w:t>
            </w:r>
          </w:p>
        </w:tc>
      </w:tr>
      <w:tr w:rsidR="00DC5F6D" w14:paraId="012F25E1" w14:textId="77777777" w:rsidTr="00653180">
        <w:tc>
          <w:tcPr>
            <w:tcW w:w="1517" w:type="dxa"/>
          </w:tcPr>
          <w:p w14:paraId="065C9F25" w14:textId="77777777" w:rsidR="00DC5F6D" w:rsidRDefault="00DC5F6D" w:rsidP="00E05BDF">
            <w:pPr>
              <w:pStyle w:val="ListParagraph"/>
              <w:ind w:left="0"/>
            </w:pPr>
          </w:p>
        </w:tc>
        <w:tc>
          <w:tcPr>
            <w:tcW w:w="1416" w:type="dxa"/>
          </w:tcPr>
          <w:p w14:paraId="2A5200B8" w14:textId="77777777" w:rsidR="00DC5F6D" w:rsidRDefault="00DC5F6D" w:rsidP="00E05BDF">
            <w:pPr>
              <w:pStyle w:val="ListParagraph"/>
              <w:ind w:left="0"/>
            </w:pPr>
          </w:p>
        </w:tc>
        <w:tc>
          <w:tcPr>
            <w:tcW w:w="1303" w:type="dxa"/>
          </w:tcPr>
          <w:p w14:paraId="26F2681D" w14:textId="77777777" w:rsidR="00DC5F6D" w:rsidRDefault="00DC5F6D" w:rsidP="00E05BDF">
            <w:pPr>
              <w:pStyle w:val="ListParagraph"/>
              <w:ind w:left="0"/>
            </w:pPr>
            <w:r>
              <w:t>We</w:t>
            </w:r>
          </w:p>
        </w:tc>
        <w:tc>
          <w:tcPr>
            <w:tcW w:w="984" w:type="dxa"/>
          </w:tcPr>
          <w:p w14:paraId="3C90EF23" w14:textId="77777777" w:rsidR="00DC5F6D" w:rsidRDefault="00784F06" w:rsidP="00653180">
            <w:pPr>
              <w:pStyle w:val="ListParagraph"/>
              <w:ind w:left="0"/>
              <w:jc w:val="center"/>
            </w:pPr>
            <w:r>
              <w:t>2.47</w:t>
            </w:r>
          </w:p>
        </w:tc>
        <w:tc>
          <w:tcPr>
            <w:tcW w:w="984" w:type="dxa"/>
          </w:tcPr>
          <w:p w14:paraId="1F32D9F3" w14:textId="77777777" w:rsidR="00DC5F6D" w:rsidRDefault="00784F06" w:rsidP="00653180">
            <w:pPr>
              <w:pStyle w:val="ListParagraph"/>
              <w:ind w:left="0"/>
              <w:jc w:val="center"/>
            </w:pPr>
            <w:r>
              <w:t>2.52</w:t>
            </w:r>
          </w:p>
        </w:tc>
        <w:tc>
          <w:tcPr>
            <w:tcW w:w="1181" w:type="dxa"/>
          </w:tcPr>
          <w:p w14:paraId="7CDFF6A5" w14:textId="77777777" w:rsidR="00DC5F6D" w:rsidRDefault="00DC5F6D" w:rsidP="00653180">
            <w:pPr>
              <w:pStyle w:val="ListParagraph"/>
              <w:ind w:left="0"/>
              <w:jc w:val="center"/>
            </w:pPr>
            <w:r>
              <w:t>.06</w:t>
            </w:r>
          </w:p>
        </w:tc>
        <w:tc>
          <w:tcPr>
            <w:tcW w:w="1471" w:type="dxa"/>
          </w:tcPr>
          <w:p w14:paraId="37062110" w14:textId="77777777" w:rsidR="00DC5F6D" w:rsidRDefault="00DC5F6D" w:rsidP="00653180">
            <w:pPr>
              <w:pStyle w:val="ListParagraph"/>
              <w:ind w:left="0"/>
              <w:jc w:val="center"/>
            </w:pPr>
            <w:r>
              <w:t>.99</w:t>
            </w:r>
          </w:p>
        </w:tc>
      </w:tr>
      <w:tr w:rsidR="00DC5F6D" w14:paraId="1AD8D81C" w14:textId="77777777" w:rsidTr="00653180">
        <w:tc>
          <w:tcPr>
            <w:tcW w:w="1517" w:type="dxa"/>
          </w:tcPr>
          <w:p w14:paraId="08CCCBA9" w14:textId="77777777" w:rsidR="00DC5F6D" w:rsidRDefault="00DC5F6D" w:rsidP="00E05BDF">
            <w:pPr>
              <w:pStyle w:val="ListParagraph"/>
              <w:ind w:left="0"/>
            </w:pPr>
          </w:p>
        </w:tc>
        <w:tc>
          <w:tcPr>
            <w:tcW w:w="1416" w:type="dxa"/>
          </w:tcPr>
          <w:p w14:paraId="33ADB83C" w14:textId="77777777" w:rsidR="00DC5F6D" w:rsidRDefault="00DC5F6D" w:rsidP="00E05BDF">
            <w:pPr>
              <w:pStyle w:val="ListParagraph"/>
              <w:ind w:left="0"/>
            </w:pPr>
          </w:p>
        </w:tc>
        <w:tc>
          <w:tcPr>
            <w:tcW w:w="1303" w:type="dxa"/>
          </w:tcPr>
          <w:p w14:paraId="2A81B0B9" w14:textId="77777777" w:rsidR="00DC5F6D" w:rsidRPr="000E629A" w:rsidRDefault="00DC5F6D" w:rsidP="00E05BDF">
            <w:pPr>
              <w:pStyle w:val="ListParagraph"/>
              <w:ind w:left="0"/>
              <w:rPr>
                <w:b/>
              </w:rPr>
            </w:pPr>
            <w:r w:rsidRPr="000E629A">
              <w:rPr>
                <w:b/>
              </w:rPr>
              <w:t>He-She</w:t>
            </w:r>
          </w:p>
        </w:tc>
        <w:tc>
          <w:tcPr>
            <w:tcW w:w="984" w:type="dxa"/>
          </w:tcPr>
          <w:p w14:paraId="4C658003" w14:textId="77777777" w:rsidR="00DC5F6D" w:rsidRPr="000E629A" w:rsidRDefault="00784F06" w:rsidP="00653180">
            <w:pPr>
              <w:pStyle w:val="ListParagraph"/>
              <w:ind w:left="0"/>
              <w:jc w:val="center"/>
              <w:rPr>
                <w:b/>
              </w:rPr>
            </w:pPr>
            <w:r>
              <w:rPr>
                <w:b/>
              </w:rPr>
              <w:t>.61</w:t>
            </w:r>
          </w:p>
        </w:tc>
        <w:tc>
          <w:tcPr>
            <w:tcW w:w="984" w:type="dxa"/>
          </w:tcPr>
          <w:p w14:paraId="6CECCA44" w14:textId="77777777" w:rsidR="00DC5F6D" w:rsidRPr="000E629A" w:rsidRDefault="00784F06" w:rsidP="00653180">
            <w:pPr>
              <w:pStyle w:val="ListParagraph"/>
              <w:ind w:left="0"/>
              <w:jc w:val="center"/>
              <w:rPr>
                <w:b/>
              </w:rPr>
            </w:pPr>
            <w:r>
              <w:rPr>
                <w:b/>
              </w:rPr>
              <w:t>1.18</w:t>
            </w:r>
          </w:p>
        </w:tc>
        <w:tc>
          <w:tcPr>
            <w:tcW w:w="1181" w:type="dxa"/>
          </w:tcPr>
          <w:p w14:paraId="53188CAF" w14:textId="77777777" w:rsidR="00DC5F6D" w:rsidRPr="000E629A" w:rsidRDefault="00DC5F6D" w:rsidP="00653180">
            <w:pPr>
              <w:pStyle w:val="ListParagraph"/>
              <w:ind w:left="0"/>
              <w:jc w:val="center"/>
              <w:rPr>
                <w:b/>
              </w:rPr>
            </w:pPr>
            <w:r w:rsidRPr="000E629A">
              <w:rPr>
                <w:b/>
              </w:rPr>
              <w:t>1.15</w:t>
            </w:r>
          </w:p>
        </w:tc>
        <w:tc>
          <w:tcPr>
            <w:tcW w:w="1471" w:type="dxa"/>
          </w:tcPr>
          <w:p w14:paraId="6FDA0AAF" w14:textId="77777777" w:rsidR="00DC5F6D" w:rsidRPr="000E629A" w:rsidRDefault="00DC5F6D" w:rsidP="00653180">
            <w:pPr>
              <w:pStyle w:val="ListParagraph"/>
              <w:ind w:left="0"/>
              <w:jc w:val="center"/>
              <w:rPr>
                <w:b/>
              </w:rPr>
            </w:pPr>
            <w:r w:rsidRPr="000E629A">
              <w:rPr>
                <w:b/>
              </w:rPr>
              <w:t>.50</w:t>
            </w:r>
          </w:p>
        </w:tc>
      </w:tr>
      <w:tr w:rsidR="00DC5F6D" w14:paraId="37634255" w14:textId="77777777" w:rsidTr="00653180">
        <w:tc>
          <w:tcPr>
            <w:tcW w:w="1517" w:type="dxa"/>
          </w:tcPr>
          <w:p w14:paraId="0BE75975" w14:textId="77777777" w:rsidR="00DC5F6D" w:rsidRDefault="00DC5F6D" w:rsidP="00E05BDF">
            <w:pPr>
              <w:pStyle w:val="ListParagraph"/>
              <w:ind w:left="0"/>
            </w:pPr>
          </w:p>
        </w:tc>
        <w:tc>
          <w:tcPr>
            <w:tcW w:w="1416" w:type="dxa"/>
          </w:tcPr>
          <w:p w14:paraId="455F8238" w14:textId="77777777" w:rsidR="00DC5F6D" w:rsidRDefault="00DC5F6D" w:rsidP="00E05BDF">
            <w:pPr>
              <w:pStyle w:val="ListParagraph"/>
              <w:ind w:left="0"/>
            </w:pPr>
          </w:p>
        </w:tc>
        <w:tc>
          <w:tcPr>
            <w:tcW w:w="1303" w:type="dxa"/>
          </w:tcPr>
          <w:p w14:paraId="7C137854" w14:textId="77777777" w:rsidR="00DC5F6D" w:rsidRDefault="00DC5F6D" w:rsidP="00E05BDF">
            <w:pPr>
              <w:pStyle w:val="ListParagraph"/>
              <w:ind w:left="0"/>
            </w:pPr>
            <w:r>
              <w:t>They</w:t>
            </w:r>
          </w:p>
        </w:tc>
        <w:tc>
          <w:tcPr>
            <w:tcW w:w="984" w:type="dxa"/>
          </w:tcPr>
          <w:p w14:paraId="11FC347E" w14:textId="77777777" w:rsidR="00DC5F6D" w:rsidRDefault="00784F06" w:rsidP="00653180">
            <w:pPr>
              <w:pStyle w:val="ListParagraph"/>
              <w:ind w:left="0"/>
              <w:jc w:val="center"/>
            </w:pPr>
            <w:r>
              <w:t>.49</w:t>
            </w:r>
          </w:p>
        </w:tc>
        <w:tc>
          <w:tcPr>
            <w:tcW w:w="984" w:type="dxa"/>
          </w:tcPr>
          <w:p w14:paraId="1376708F" w14:textId="77777777" w:rsidR="00DC5F6D" w:rsidRDefault="00784F06" w:rsidP="00653180">
            <w:pPr>
              <w:pStyle w:val="ListParagraph"/>
              <w:ind w:left="0"/>
              <w:jc w:val="center"/>
            </w:pPr>
            <w:r>
              <w:t>.55</w:t>
            </w:r>
          </w:p>
        </w:tc>
        <w:tc>
          <w:tcPr>
            <w:tcW w:w="1181" w:type="dxa"/>
          </w:tcPr>
          <w:p w14:paraId="41C8ECED" w14:textId="77777777" w:rsidR="00DC5F6D" w:rsidRDefault="00DC5F6D" w:rsidP="00653180">
            <w:pPr>
              <w:pStyle w:val="ListParagraph"/>
              <w:ind w:left="0"/>
              <w:jc w:val="center"/>
            </w:pPr>
            <w:r>
              <w:t>.17</w:t>
            </w:r>
          </w:p>
        </w:tc>
        <w:tc>
          <w:tcPr>
            <w:tcW w:w="1471" w:type="dxa"/>
          </w:tcPr>
          <w:p w14:paraId="543604CE" w14:textId="77777777" w:rsidR="00DC5F6D" w:rsidRDefault="00DC5F6D" w:rsidP="00653180">
            <w:pPr>
              <w:pStyle w:val="ListParagraph"/>
              <w:ind w:left="0"/>
              <w:jc w:val="center"/>
            </w:pPr>
            <w:r>
              <w:t>.34</w:t>
            </w:r>
          </w:p>
        </w:tc>
      </w:tr>
      <w:tr w:rsidR="00DC5F6D" w14:paraId="7DECC69B" w14:textId="77777777" w:rsidTr="00653180">
        <w:tc>
          <w:tcPr>
            <w:tcW w:w="1517" w:type="dxa"/>
          </w:tcPr>
          <w:p w14:paraId="75F47524" w14:textId="77777777" w:rsidR="00DC5F6D" w:rsidRDefault="00DC5F6D" w:rsidP="00E05BDF">
            <w:pPr>
              <w:pStyle w:val="ListParagraph"/>
              <w:ind w:left="0"/>
            </w:pPr>
          </w:p>
        </w:tc>
        <w:tc>
          <w:tcPr>
            <w:tcW w:w="1416" w:type="dxa"/>
          </w:tcPr>
          <w:p w14:paraId="3E3EE41C" w14:textId="77777777" w:rsidR="00DC5F6D" w:rsidRDefault="00DC5F6D" w:rsidP="00E05BDF">
            <w:pPr>
              <w:pStyle w:val="ListParagraph"/>
              <w:ind w:left="0"/>
            </w:pPr>
          </w:p>
        </w:tc>
        <w:tc>
          <w:tcPr>
            <w:tcW w:w="1303" w:type="dxa"/>
          </w:tcPr>
          <w:p w14:paraId="0DC1CDBB" w14:textId="77777777" w:rsidR="00DC5F6D" w:rsidRPr="000E629A" w:rsidRDefault="00DC5F6D" w:rsidP="00E05BDF">
            <w:pPr>
              <w:pStyle w:val="ListParagraph"/>
              <w:ind w:left="0"/>
              <w:rPr>
                <w:b/>
              </w:rPr>
            </w:pPr>
            <w:r w:rsidRPr="000E629A">
              <w:rPr>
                <w:b/>
              </w:rPr>
              <w:t>Past</w:t>
            </w:r>
          </w:p>
        </w:tc>
        <w:tc>
          <w:tcPr>
            <w:tcW w:w="984" w:type="dxa"/>
          </w:tcPr>
          <w:p w14:paraId="5EFE4451" w14:textId="77777777" w:rsidR="00DC5F6D" w:rsidRPr="000E629A" w:rsidRDefault="00784F06" w:rsidP="00653180">
            <w:pPr>
              <w:pStyle w:val="ListParagraph"/>
              <w:ind w:left="0"/>
              <w:jc w:val="center"/>
              <w:rPr>
                <w:b/>
              </w:rPr>
            </w:pPr>
            <w:r>
              <w:rPr>
                <w:b/>
              </w:rPr>
              <w:t>1.39</w:t>
            </w:r>
          </w:p>
        </w:tc>
        <w:tc>
          <w:tcPr>
            <w:tcW w:w="984" w:type="dxa"/>
          </w:tcPr>
          <w:p w14:paraId="5B8FB8E8" w14:textId="77777777" w:rsidR="00DC5F6D" w:rsidRPr="000E629A" w:rsidRDefault="00784F06" w:rsidP="00653180">
            <w:pPr>
              <w:pStyle w:val="ListParagraph"/>
              <w:ind w:left="0"/>
              <w:jc w:val="center"/>
              <w:rPr>
                <w:b/>
              </w:rPr>
            </w:pPr>
            <w:r>
              <w:rPr>
                <w:b/>
              </w:rPr>
              <w:t>1.86</w:t>
            </w:r>
          </w:p>
        </w:tc>
        <w:tc>
          <w:tcPr>
            <w:tcW w:w="1181" w:type="dxa"/>
          </w:tcPr>
          <w:p w14:paraId="33B5822F" w14:textId="77777777" w:rsidR="00DC5F6D" w:rsidRPr="000E629A" w:rsidRDefault="00DC5F6D" w:rsidP="00653180">
            <w:pPr>
              <w:pStyle w:val="ListParagraph"/>
              <w:ind w:left="0"/>
              <w:jc w:val="center"/>
              <w:rPr>
                <w:b/>
              </w:rPr>
            </w:pPr>
            <w:r w:rsidRPr="000E629A">
              <w:rPr>
                <w:b/>
              </w:rPr>
              <w:t>.55</w:t>
            </w:r>
          </w:p>
        </w:tc>
        <w:tc>
          <w:tcPr>
            <w:tcW w:w="1471" w:type="dxa"/>
          </w:tcPr>
          <w:p w14:paraId="5550201C" w14:textId="77777777" w:rsidR="00DC5F6D" w:rsidRPr="000E629A" w:rsidRDefault="00DC5F6D" w:rsidP="00653180">
            <w:pPr>
              <w:pStyle w:val="ListParagraph"/>
              <w:ind w:left="0"/>
              <w:jc w:val="center"/>
              <w:rPr>
                <w:b/>
              </w:rPr>
            </w:pPr>
            <w:r w:rsidRPr="000E629A">
              <w:rPr>
                <w:b/>
              </w:rPr>
              <w:t>.85</w:t>
            </w:r>
          </w:p>
        </w:tc>
      </w:tr>
      <w:tr w:rsidR="00DC5F6D" w14:paraId="075E279B" w14:textId="77777777" w:rsidTr="00653180">
        <w:tc>
          <w:tcPr>
            <w:tcW w:w="1517" w:type="dxa"/>
          </w:tcPr>
          <w:p w14:paraId="7F8C32D9" w14:textId="77777777" w:rsidR="00DC5F6D" w:rsidRDefault="00DC5F6D" w:rsidP="00E05BDF">
            <w:pPr>
              <w:pStyle w:val="ListParagraph"/>
              <w:ind w:left="0"/>
            </w:pPr>
          </w:p>
        </w:tc>
        <w:tc>
          <w:tcPr>
            <w:tcW w:w="1416" w:type="dxa"/>
          </w:tcPr>
          <w:p w14:paraId="4087A97D" w14:textId="77777777" w:rsidR="00DC5F6D" w:rsidRDefault="00DC5F6D" w:rsidP="00E05BDF">
            <w:pPr>
              <w:pStyle w:val="ListParagraph"/>
              <w:ind w:left="0"/>
            </w:pPr>
          </w:p>
        </w:tc>
        <w:tc>
          <w:tcPr>
            <w:tcW w:w="1303" w:type="dxa"/>
          </w:tcPr>
          <w:p w14:paraId="2F7E0796" w14:textId="77777777" w:rsidR="00DC5F6D" w:rsidRDefault="00DC5F6D" w:rsidP="00E05BDF">
            <w:pPr>
              <w:pStyle w:val="ListParagraph"/>
              <w:ind w:left="0"/>
            </w:pPr>
            <w:r>
              <w:t>Present</w:t>
            </w:r>
          </w:p>
        </w:tc>
        <w:tc>
          <w:tcPr>
            <w:tcW w:w="984" w:type="dxa"/>
          </w:tcPr>
          <w:p w14:paraId="10F5E3E8" w14:textId="77777777" w:rsidR="00DC5F6D" w:rsidRDefault="00784F06" w:rsidP="00653180">
            <w:pPr>
              <w:pStyle w:val="ListParagraph"/>
              <w:ind w:left="0"/>
              <w:jc w:val="center"/>
            </w:pPr>
            <w:r>
              <w:t>6.60</w:t>
            </w:r>
          </w:p>
        </w:tc>
        <w:tc>
          <w:tcPr>
            <w:tcW w:w="984" w:type="dxa"/>
          </w:tcPr>
          <w:p w14:paraId="4434E9A9" w14:textId="77777777" w:rsidR="00DC5F6D" w:rsidRDefault="00784F06" w:rsidP="00653180">
            <w:pPr>
              <w:pStyle w:val="ListParagraph"/>
              <w:ind w:left="0"/>
              <w:jc w:val="center"/>
            </w:pPr>
            <w:r>
              <w:t>6.87</w:t>
            </w:r>
          </w:p>
        </w:tc>
        <w:tc>
          <w:tcPr>
            <w:tcW w:w="1181" w:type="dxa"/>
          </w:tcPr>
          <w:p w14:paraId="3CF4E2F1" w14:textId="77777777" w:rsidR="00DC5F6D" w:rsidRDefault="00DC5F6D" w:rsidP="00653180">
            <w:pPr>
              <w:pStyle w:val="ListParagraph"/>
              <w:ind w:left="0"/>
              <w:jc w:val="center"/>
            </w:pPr>
            <w:r>
              <w:t>.15</w:t>
            </w:r>
          </w:p>
        </w:tc>
        <w:tc>
          <w:tcPr>
            <w:tcW w:w="1471" w:type="dxa"/>
          </w:tcPr>
          <w:p w14:paraId="19B31CA2" w14:textId="77777777" w:rsidR="00DC5F6D" w:rsidRDefault="00DC5F6D" w:rsidP="00653180">
            <w:pPr>
              <w:pStyle w:val="ListParagraph"/>
              <w:ind w:left="0"/>
              <w:jc w:val="center"/>
            </w:pPr>
            <w:r>
              <w:t>1.87</w:t>
            </w:r>
          </w:p>
        </w:tc>
      </w:tr>
      <w:tr w:rsidR="00DC5F6D" w14:paraId="1DF701D1" w14:textId="77777777" w:rsidTr="00653180">
        <w:tc>
          <w:tcPr>
            <w:tcW w:w="1517" w:type="dxa"/>
          </w:tcPr>
          <w:p w14:paraId="422213FD" w14:textId="77777777" w:rsidR="00DC5F6D" w:rsidRDefault="00DC5F6D" w:rsidP="00E05BDF">
            <w:pPr>
              <w:pStyle w:val="ListParagraph"/>
              <w:ind w:left="0"/>
            </w:pPr>
          </w:p>
        </w:tc>
        <w:tc>
          <w:tcPr>
            <w:tcW w:w="1416" w:type="dxa"/>
          </w:tcPr>
          <w:p w14:paraId="3065B0F8" w14:textId="77777777" w:rsidR="00DC5F6D" w:rsidRDefault="00DC5F6D" w:rsidP="00E05BDF">
            <w:pPr>
              <w:pStyle w:val="ListParagraph"/>
              <w:ind w:left="0"/>
            </w:pPr>
          </w:p>
        </w:tc>
        <w:tc>
          <w:tcPr>
            <w:tcW w:w="1303" w:type="dxa"/>
            <w:tcBorders>
              <w:bottom w:val="single" w:sz="4" w:space="0" w:color="auto"/>
            </w:tcBorders>
          </w:tcPr>
          <w:p w14:paraId="4842EEB0" w14:textId="77777777" w:rsidR="00DC5F6D" w:rsidRDefault="00DC5F6D" w:rsidP="00E05BDF">
            <w:pPr>
              <w:pStyle w:val="ListParagraph"/>
              <w:ind w:left="0"/>
            </w:pPr>
            <w:r>
              <w:t>Future</w:t>
            </w:r>
          </w:p>
        </w:tc>
        <w:tc>
          <w:tcPr>
            <w:tcW w:w="984" w:type="dxa"/>
            <w:tcBorders>
              <w:bottom w:val="single" w:sz="4" w:space="0" w:color="auto"/>
            </w:tcBorders>
          </w:tcPr>
          <w:p w14:paraId="4ACBB28C" w14:textId="77777777" w:rsidR="00DC5F6D" w:rsidRDefault="00A87631" w:rsidP="00653180">
            <w:pPr>
              <w:pStyle w:val="ListParagraph"/>
              <w:ind w:left="0"/>
              <w:jc w:val="center"/>
            </w:pPr>
            <w:r>
              <w:t>1.46</w:t>
            </w:r>
          </w:p>
        </w:tc>
        <w:tc>
          <w:tcPr>
            <w:tcW w:w="984" w:type="dxa"/>
            <w:tcBorders>
              <w:bottom w:val="single" w:sz="4" w:space="0" w:color="auto"/>
            </w:tcBorders>
          </w:tcPr>
          <w:p w14:paraId="038D922F" w14:textId="77777777" w:rsidR="00DC5F6D" w:rsidRDefault="00A87631" w:rsidP="00653180">
            <w:pPr>
              <w:pStyle w:val="ListParagraph"/>
              <w:ind w:left="0"/>
              <w:jc w:val="center"/>
            </w:pPr>
            <w:r>
              <w:t>1.28</w:t>
            </w:r>
          </w:p>
        </w:tc>
        <w:tc>
          <w:tcPr>
            <w:tcW w:w="1181" w:type="dxa"/>
            <w:tcBorders>
              <w:bottom w:val="single" w:sz="4" w:space="0" w:color="auto"/>
            </w:tcBorders>
          </w:tcPr>
          <w:p w14:paraId="692DC913" w14:textId="77777777" w:rsidR="00DC5F6D" w:rsidRDefault="00DC5F6D" w:rsidP="00653180">
            <w:pPr>
              <w:pStyle w:val="ListParagraph"/>
              <w:ind w:left="0"/>
              <w:jc w:val="center"/>
            </w:pPr>
            <w:r>
              <w:t>-.36</w:t>
            </w:r>
          </w:p>
        </w:tc>
        <w:tc>
          <w:tcPr>
            <w:tcW w:w="1471" w:type="dxa"/>
            <w:tcBorders>
              <w:bottom w:val="single" w:sz="4" w:space="0" w:color="auto"/>
            </w:tcBorders>
          </w:tcPr>
          <w:p w14:paraId="1C87B9FE" w14:textId="77777777" w:rsidR="00DC5F6D" w:rsidRDefault="00DC5F6D" w:rsidP="00653180">
            <w:pPr>
              <w:pStyle w:val="ListParagraph"/>
              <w:ind w:left="0"/>
              <w:jc w:val="center"/>
            </w:pPr>
            <w:r>
              <w:t>.53</w:t>
            </w:r>
          </w:p>
        </w:tc>
      </w:tr>
      <w:tr w:rsidR="00DC5F6D" w14:paraId="66E7D2B6" w14:textId="77777777" w:rsidTr="00653180">
        <w:tc>
          <w:tcPr>
            <w:tcW w:w="1517" w:type="dxa"/>
          </w:tcPr>
          <w:p w14:paraId="280D7FC6" w14:textId="77777777" w:rsidR="00DC5F6D" w:rsidRDefault="00DC5F6D" w:rsidP="006D47FA">
            <w:pPr>
              <w:pStyle w:val="ListParagraph"/>
              <w:ind w:left="0"/>
            </w:pPr>
            <w:r>
              <w:t>House</w:t>
            </w:r>
          </w:p>
        </w:tc>
        <w:tc>
          <w:tcPr>
            <w:tcW w:w="1416" w:type="dxa"/>
          </w:tcPr>
          <w:p w14:paraId="28EBA865" w14:textId="77777777" w:rsidR="00DC5F6D" w:rsidRDefault="00DC5F6D" w:rsidP="006D47FA">
            <w:pPr>
              <w:pStyle w:val="ListParagraph"/>
              <w:ind w:left="0"/>
            </w:pPr>
            <w:r>
              <w:t>Iraq</w:t>
            </w:r>
          </w:p>
        </w:tc>
        <w:tc>
          <w:tcPr>
            <w:tcW w:w="1303" w:type="dxa"/>
            <w:tcBorders>
              <w:top w:val="single" w:sz="4" w:space="0" w:color="auto"/>
            </w:tcBorders>
          </w:tcPr>
          <w:p w14:paraId="73A7FFE2" w14:textId="77777777" w:rsidR="00DC5F6D" w:rsidRDefault="00DC5F6D" w:rsidP="006D47FA">
            <w:pPr>
              <w:pStyle w:val="ListParagraph"/>
              <w:ind w:left="0"/>
            </w:pPr>
            <w:r>
              <w:t>I</w:t>
            </w:r>
          </w:p>
        </w:tc>
        <w:tc>
          <w:tcPr>
            <w:tcW w:w="984" w:type="dxa"/>
            <w:tcBorders>
              <w:top w:val="single" w:sz="4" w:space="0" w:color="auto"/>
            </w:tcBorders>
          </w:tcPr>
          <w:p w14:paraId="0F106F19" w14:textId="77777777" w:rsidR="00DC5F6D" w:rsidRDefault="00A87631" w:rsidP="00653180">
            <w:pPr>
              <w:pStyle w:val="ListParagraph"/>
              <w:ind w:left="0"/>
              <w:jc w:val="center"/>
            </w:pPr>
            <w:r>
              <w:t>1.65</w:t>
            </w:r>
          </w:p>
        </w:tc>
        <w:tc>
          <w:tcPr>
            <w:tcW w:w="984" w:type="dxa"/>
            <w:tcBorders>
              <w:top w:val="single" w:sz="4" w:space="0" w:color="auto"/>
            </w:tcBorders>
          </w:tcPr>
          <w:p w14:paraId="0482DE70" w14:textId="77777777" w:rsidR="00DC5F6D" w:rsidRDefault="00A87631" w:rsidP="00653180">
            <w:pPr>
              <w:pStyle w:val="ListParagraph"/>
              <w:ind w:left="0"/>
              <w:jc w:val="center"/>
            </w:pPr>
            <w:r>
              <w:t>1.83</w:t>
            </w:r>
          </w:p>
        </w:tc>
        <w:tc>
          <w:tcPr>
            <w:tcW w:w="1181" w:type="dxa"/>
            <w:tcBorders>
              <w:top w:val="single" w:sz="4" w:space="0" w:color="auto"/>
            </w:tcBorders>
          </w:tcPr>
          <w:p w14:paraId="2B9C25B0" w14:textId="77777777" w:rsidR="00DC5F6D" w:rsidRDefault="00DC5F6D" w:rsidP="00653180">
            <w:pPr>
              <w:pStyle w:val="ListParagraph"/>
              <w:ind w:left="0"/>
              <w:jc w:val="center"/>
            </w:pPr>
            <w:r>
              <w:t>.15</w:t>
            </w:r>
          </w:p>
        </w:tc>
        <w:tc>
          <w:tcPr>
            <w:tcW w:w="1471" w:type="dxa"/>
            <w:tcBorders>
              <w:top w:val="single" w:sz="4" w:space="0" w:color="auto"/>
            </w:tcBorders>
          </w:tcPr>
          <w:p w14:paraId="205E90DB" w14:textId="77777777" w:rsidR="00DC5F6D" w:rsidRDefault="00DC5F6D" w:rsidP="00653180">
            <w:pPr>
              <w:pStyle w:val="ListParagraph"/>
              <w:ind w:left="0"/>
              <w:jc w:val="center"/>
            </w:pPr>
            <w:r>
              <w:t>1.17</w:t>
            </w:r>
          </w:p>
        </w:tc>
      </w:tr>
      <w:tr w:rsidR="00DC5F6D" w14:paraId="75788359" w14:textId="77777777" w:rsidTr="00653180">
        <w:tc>
          <w:tcPr>
            <w:tcW w:w="1517" w:type="dxa"/>
          </w:tcPr>
          <w:p w14:paraId="668B6FF3" w14:textId="77777777" w:rsidR="00DC5F6D" w:rsidRDefault="00DC5F6D" w:rsidP="006D47FA">
            <w:pPr>
              <w:pStyle w:val="ListParagraph"/>
              <w:ind w:left="0"/>
            </w:pPr>
          </w:p>
        </w:tc>
        <w:tc>
          <w:tcPr>
            <w:tcW w:w="1416" w:type="dxa"/>
          </w:tcPr>
          <w:p w14:paraId="0E52A355" w14:textId="77777777" w:rsidR="00DC5F6D" w:rsidRDefault="00DC5F6D" w:rsidP="006D47FA">
            <w:pPr>
              <w:pStyle w:val="ListParagraph"/>
              <w:ind w:left="0"/>
            </w:pPr>
          </w:p>
        </w:tc>
        <w:tc>
          <w:tcPr>
            <w:tcW w:w="1303" w:type="dxa"/>
          </w:tcPr>
          <w:p w14:paraId="1350B67E" w14:textId="77777777" w:rsidR="00DC5F6D" w:rsidRDefault="00DC5F6D" w:rsidP="006D47FA">
            <w:pPr>
              <w:pStyle w:val="ListParagraph"/>
              <w:ind w:left="0"/>
            </w:pPr>
            <w:r>
              <w:t>We</w:t>
            </w:r>
          </w:p>
        </w:tc>
        <w:tc>
          <w:tcPr>
            <w:tcW w:w="984" w:type="dxa"/>
          </w:tcPr>
          <w:p w14:paraId="1A75C59C" w14:textId="77777777" w:rsidR="00DC5F6D" w:rsidRDefault="00A87631" w:rsidP="00653180">
            <w:pPr>
              <w:pStyle w:val="ListParagraph"/>
              <w:ind w:left="0"/>
              <w:jc w:val="center"/>
            </w:pPr>
            <w:r>
              <w:t>2.92</w:t>
            </w:r>
          </w:p>
        </w:tc>
        <w:tc>
          <w:tcPr>
            <w:tcW w:w="984" w:type="dxa"/>
          </w:tcPr>
          <w:p w14:paraId="332AB03D" w14:textId="77777777" w:rsidR="00DC5F6D" w:rsidRDefault="00A87631" w:rsidP="00653180">
            <w:pPr>
              <w:pStyle w:val="ListParagraph"/>
              <w:ind w:left="0"/>
              <w:jc w:val="center"/>
            </w:pPr>
            <w:r>
              <w:t>2.76</w:t>
            </w:r>
          </w:p>
        </w:tc>
        <w:tc>
          <w:tcPr>
            <w:tcW w:w="1181" w:type="dxa"/>
          </w:tcPr>
          <w:p w14:paraId="07B7E157" w14:textId="77777777" w:rsidR="00DC5F6D" w:rsidRDefault="00DC5F6D" w:rsidP="00653180">
            <w:pPr>
              <w:pStyle w:val="ListParagraph"/>
              <w:ind w:left="0"/>
              <w:jc w:val="center"/>
            </w:pPr>
            <w:r>
              <w:t>-.12</w:t>
            </w:r>
          </w:p>
        </w:tc>
        <w:tc>
          <w:tcPr>
            <w:tcW w:w="1471" w:type="dxa"/>
          </w:tcPr>
          <w:p w14:paraId="344C7D87" w14:textId="77777777" w:rsidR="00DC5F6D" w:rsidRDefault="00DC5F6D" w:rsidP="00653180">
            <w:pPr>
              <w:pStyle w:val="ListParagraph"/>
              <w:ind w:left="0"/>
              <w:jc w:val="center"/>
            </w:pPr>
            <w:r>
              <w:t>1.39</w:t>
            </w:r>
          </w:p>
        </w:tc>
      </w:tr>
      <w:tr w:rsidR="00DC5F6D" w14:paraId="082CE6F5" w14:textId="77777777" w:rsidTr="00653180">
        <w:tc>
          <w:tcPr>
            <w:tcW w:w="1517" w:type="dxa"/>
          </w:tcPr>
          <w:p w14:paraId="2B53EF56" w14:textId="77777777" w:rsidR="00DC5F6D" w:rsidRDefault="00DC5F6D" w:rsidP="006D47FA">
            <w:pPr>
              <w:pStyle w:val="ListParagraph"/>
              <w:ind w:left="0"/>
            </w:pPr>
          </w:p>
        </w:tc>
        <w:tc>
          <w:tcPr>
            <w:tcW w:w="1416" w:type="dxa"/>
          </w:tcPr>
          <w:p w14:paraId="4E116F69" w14:textId="77777777" w:rsidR="00DC5F6D" w:rsidRDefault="00DC5F6D" w:rsidP="006D47FA">
            <w:pPr>
              <w:pStyle w:val="ListParagraph"/>
              <w:ind w:left="0"/>
            </w:pPr>
          </w:p>
        </w:tc>
        <w:tc>
          <w:tcPr>
            <w:tcW w:w="1303" w:type="dxa"/>
          </w:tcPr>
          <w:p w14:paraId="0DEBFFB1" w14:textId="77777777" w:rsidR="00DC5F6D" w:rsidRPr="000E629A" w:rsidRDefault="00DC5F6D" w:rsidP="006D47FA">
            <w:pPr>
              <w:pStyle w:val="ListParagraph"/>
              <w:ind w:left="0"/>
              <w:rPr>
                <w:b/>
              </w:rPr>
            </w:pPr>
            <w:r w:rsidRPr="000E629A">
              <w:rPr>
                <w:b/>
              </w:rPr>
              <w:t>He-She</w:t>
            </w:r>
          </w:p>
        </w:tc>
        <w:tc>
          <w:tcPr>
            <w:tcW w:w="984" w:type="dxa"/>
          </w:tcPr>
          <w:p w14:paraId="31BCD609" w14:textId="77777777" w:rsidR="00DC5F6D" w:rsidRPr="000E629A" w:rsidRDefault="00A87631" w:rsidP="00653180">
            <w:pPr>
              <w:pStyle w:val="ListParagraph"/>
              <w:ind w:left="0"/>
              <w:jc w:val="center"/>
              <w:rPr>
                <w:b/>
              </w:rPr>
            </w:pPr>
            <w:r>
              <w:rPr>
                <w:b/>
              </w:rPr>
              <w:t>.57</w:t>
            </w:r>
          </w:p>
        </w:tc>
        <w:tc>
          <w:tcPr>
            <w:tcW w:w="984" w:type="dxa"/>
          </w:tcPr>
          <w:p w14:paraId="346BDB9B" w14:textId="77777777" w:rsidR="00DC5F6D" w:rsidRPr="000E629A" w:rsidRDefault="00A87631" w:rsidP="00653180">
            <w:pPr>
              <w:pStyle w:val="ListParagraph"/>
              <w:ind w:left="0"/>
              <w:jc w:val="center"/>
              <w:rPr>
                <w:b/>
              </w:rPr>
            </w:pPr>
            <w:r>
              <w:rPr>
                <w:b/>
              </w:rPr>
              <w:t>1.16</w:t>
            </w:r>
          </w:p>
        </w:tc>
        <w:tc>
          <w:tcPr>
            <w:tcW w:w="1181" w:type="dxa"/>
          </w:tcPr>
          <w:p w14:paraId="28D495F6" w14:textId="77777777" w:rsidR="00DC5F6D" w:rsidRPr="000E629A" w:rsidRDefault="00DC5F6D" w:rsidP="00653180">
            <w:pPr>
              <w:pStyle w:val="ListParagraph"/>
              <w:ind w:left="0"/>
              <w:jc w:val="center"/>
              <w:rPr>
                <w:b/>
              </w:rPr>
            </w:pPr>
            <w:r w:rsidRPr="000E629A">
              <w:rPr>
                <w:b/>
              </w:rPr>
              <w:t>.82</w:t>
            </w:r>
          </w:p>
        </w:tc>
        <w:tc>
          <w:tcPr>
            <w:tcW w:w="1471" w:type="dxa"/>
          </w:tcPr>
          <w:p w14:paraId="7E89D13C" w14:textId="77777777" w:rsidR="00DC5F6D" w:rsidRPr="000E629A" w:rsidRDefault="00DC5F6D" w:rsidP="00653180">
            <w:pPr>
              <w:pStyle w:val="ListParagraph"/>
              <w:ind w:left="0"/>
              <w:jc w:val="center"/>
              <w:rPr>
                <w:b/>
              </w:rPr>
            </w:pPr>
            <w:r w:rsidRPr="000E629A">
              <w:rPr>
                <w:b/>
              </w:rPr>
              <w:t>.72</w:t>
            </w:r>
          </w:p>
        </w:tc>
      </w:tr>
      <w:tr w:rsidR="00DC5F6D" w14:paraId="59AA9AA2" w14:textId="77777777" w:rsidTr="00653180">
        <w:tc>
          <w:tcPr>
            <w:tcW w:w="1517" w:type="dxa"/>
          </w:tcPr>
          <w:p w14:paraId="3DA4F7BB" w14:textId="77777777" w:rsidR="00DC5F6D" w:rsidRDefault="00DC5F6D" w:rsidP="006D47FA">
            <w:pPr>
              <w:pStyle w:val="ListParagraph"/>
              <w:ind w:left="0"/>
            </w:pPr>
          </w:p>
        </w:tc>
        <w:tc>
          <w:tcPr>
            <w:tcW w:w="1416" w:type="dxa"/>
          </w:tcPr>
          <w:p w14:paraId="7CC099A5" w14:textId="77777777" w:rsidR="00DC5F6D" w:rsidRDefault="00DC5F6D" w:rsidP="006D47FA">
            <w:pPr>
              <w:pStyle w:val="ListParagraph"/>
              <w:ind w:left="0"/>
            </w:pPr>
          </w:p>
        </w:tc>
        <w:tc>
          <w:tcPr>
            <w:tcW w:w="1303" w:type="dxa"/>
          </w:tcPr>
          <w:p w14:paraId="03D3518C" w14:textId="77777777" w:rsidR="00DC5F6D" w:rsidRDefault="00DC5F6D" w:rsidP="006D47FA">
            <w:pPr>
              <w:pStyle w:val="ListParagraph"/>
              <w:ind w:left="0"/>
            </w:pPr>
            <w:r>
              <w:t>They</w:t>
            </w:r>
          </w:p>
        </w:tc>
        <w:tc>
          <w:tcPr>
            <w:tcW w:w="984" w:type="dxa"/>
          </w:tcPr>
          <w:p w14:paraId="5CEC0C0C" w14:textId="77777777" w:rsidR="00DC5F6D" w:rsidRDefault="00A87631" w:rsidP="00653180">
            <w:pPr>
              <w:pStyle w:val="ListParagraph"/>
              <w:ind w:left="0"/>
              <w:jc w:val="center"/>
            </w:pPr>
            <w:r>
              <w:t>.49</w:t>
            </w:r>
          </w:p>
        </w:tc>
        <w:tc>
          <w:tcPr>
            <w:tcW w:w="984" w:type="dxa"/>
          </w:tcPr>
          <w:p w14:paraId="66971E4B" w14:textId="77777777" w:rsidR="00DC5F6D" w:rsidRDefault="00A87631" w:rsidP="00653180">
            <w:pPr>
              <w:pStyle w:val="ListParagraph"/>
              <w:ind w:left="0"/>
              <w:jc w:val="center"/>
            </w:pPr>
            <w:r>
              <w:t>.56</w:t>
            </w:r>
          </w:p>
        </w:tc>
        <w:tc>
          <w:tcPr>
            <w:tcW w:w="1181" w:type="dxa"/>
          </w:tcPr>
          <w:p w14:paraId="4E721FB4" w14:textId="77777777" w:rsidR="00DC5F6D" w:rsidRDefault="00DC5F6D" w:rsidP="00653180">
            <w:pPr>
              <w:pStyle w:val="ListParagraph"/>
              <w:ind w:left="0"/>
              <w:jc w:val="center"/>
            </w:pPr>
            <w:r>
              <w:t>.13</w:t>
            </w:r>
          </w:p>
        </w:tc>
        <w:tc>
          <w:tcPr>
            <w:tcW w:w="1471" w:type="dxa"/>
          </w:tcPr>
          <w:p w14:paraId="0B370AEB" w14:textId="77777777" w:rsidR="00DC5F6D" w:rsidRDefault="00DC5F6D" w:rsidP="00653180">
            <w:pPr>
              <w:pStyle w:val="ListParagraph"/>
              <w:ind w:left="0"/>
              <w:jc w:val="center"/>
            </w:pPr>
            <w:r>
              <w:t>.53</w:t>
            </w:r>
          </w:p>
        </w:tc>
      </w:tr>
      <w:tr w:rsidR="00DC5F6D" w14:paraId="708112F8" w14:textId="77777777" w:rsidTr="00653180">
        <w:tc>
          <w:tcPr>
            <w:tcW w:w="1517" w:type="dxa"/>
          </w:tcPr>
          <w:p w14:paraId="00FB1AB6" w14:textId="77777777" w:rsidR="00DC5F6D" w:rsidRDefault="00DC5F6D" w:rsidP="006D47FA">
            <w:pPr>
              <w:pStyle w:val="ListParagraph"/>
              <w:ind w:left="0"/>
            </w:pPr>
          </w:p>
        </w:tc>
        <w:tc>
          <w:tcPr>
            <w:tcW w:w="1416" w:type="dxa"/>
          </w:tcPr>
          <w:p w14:paraId="3C3C7423" w14:textId="77777777" w:rsidR="00DC5F6D" w:rsidRDefault="00DC5F6D" w:rsidP="006D47FA">
            <w:pPr>
              <w:pStyle w:val="ListParagraph"/>
              <w:ind w:left="0"/>
            </w:pPr>
          </w:p>
        </w:tc>
        <w:tc>
          <w:tcPr>
            <w:tcW w:w="1303" w:type="dxa"/>
          </w:tcPr>
          <w:p w14:paraId="76402925" w14:textId="77777777" w:rsidR="00DC5F6D" w:rsidRDefault="00DC5F6D" w:rsidP="006D47FA">
            <w:pPr>
              <w:pStyle w:val="ListParagraph"/>
              <w:ind w:left="0"/>
            </w:pPr>
            <w:r>
              <w:t>Past</w:t>
            </w:r>
          </w:p>
        </w:tc>
        <w:tc>
          <w:tcPr>
            <w:tcW w:w="984" w:type="dxa"/>
          </w:tcPr>
          <w:p w14:paraId="16777238" w14:textId="77777777" w:rsidR="00DC5F6D" w:rsidRDefault="00A87631" w:rsidP="00653180">
            <w:pPr>
              <w:pStyle w:val="ListParagraph"/>
              <w:ind w:left="0"/>
              <w:jc w:val="center"/>
            </w:pPr>
            <w:r>
              <w:t>1.41</w:t>
            </w:r>
          </w:p>
        </w:tc>
        <w:tc>
          <w:tcPr>
            <w:tcW w:w="984" w:type="dxa"/>
          </w:tcPr>
          <w:p w14:paraId="7F6598E5" w14:textId="77777777" w:rsidR="00DC5F6D" w:rsidRDefault="00A87631" w:rsidP="00653180">
            <w:pPr>
              <w:pStyle w:val="ListParagraph"/>
              <w:ind w:left="0"/>
              <w:jc w:val="center"/>
            </w:pPr>
            <w:r>
              <w:t>1.53</w:t>
            </w:r>
          </w:p>
        </w:tc>
        <w:tc>
          <w:tcPr>
            <w:tcW w:w="1181" w:type="dxa"/>
          </w:tcPr>
          <w:p w14:paraId="77A77F20" w14:textId="77777777" w:rsidR="00DC5F6D" w:rsidRDefault="00DC5F6D" w:rsidP="00653180">
            <w:pPr>
              <w:pStyle w:val="ListParagraph"/>
              <w:ind w:left="0"/>
              <w:jc w:val="center"/>
            </w:pPr>
            <w:r>
              <w:t>.12</w:t>
            </w:r>
          </w:p>
        </w:tc>
        <w:tc>
          <w:tcPr>
            <w:tcW w:w="1471" w:type="dxa"/>
          </w:tcPr>
          <w:p w14:paraId="6FC4EB3A" w14:textId="77777777" w:rsidR="00DC5F6D" w:rsidRDefault="00DC5F6D" w:rsidP="00653180">
            <w:pPr>
              <w:pStyle w:val="ListParagraph"/>
              <w:ind w:left="0"/>
              <w:jc w:val="center"/>
            </w:pPr>
            <w:r>
              <w:t>1.08</w:t>
            </w:r>
          </w:p>
        </w:tc>
      </w:tr>
      <w:tr w:rsidR="00DC5F6D" w14:paraId="7E7C457B" w14:textId="77777777" w:rsidTr="00653180">
        <w:tc>
          <w:tcPr>
            <w:tcW w:w="1517" w:type="dxa"/>
          </w:tcPr>
          <w:p w14:paraId="22C19A86" w14:textId="77777777" w:rsidR="00DC5F6D" w:rsidRDefault="00DC5F6D" w:rsidP="006D47FA">
            <w:pPr>
              <w:pStyle w:val="ListParagraph"/>
              <w:ind w:left="0"/>
            </w:pPr>
          </w:p>
        </w:tc>
        <w:tc>
          <w:tcPr>
            <w:tcW w:w="1416" w:type="dxa"/>
          </w:tcPr>
          <w:p w14:paraId="7851C5D7" w14:textId="77777777" w:rsidR="00DC5F6D" w:rsidRDefault="00DC5F6D" w:rsidP="006D47FA">
            <w:pPr>
              <w:pStyle w:val="ListParagraph"/>
              <w:ind w:left="0"/>
            </w:pPr>
          </w:p>
        </w:tc>
        <w:tc>
          <w:tcPr>
            <w:tcW w:w="1303" w:type="dxa"/>
          </w:tcPr>
          <w:p w14:paraId="741FCE07" w14:textId="77777777" w:rsidR="00DC5F6D" w:rsidRDefault="00DC5F6D" w:rsidP="006D47FA">
            <w:pPr>
              <w:pStyle w:val="ListParagraph"/>
              <w:ind w:left="0"/>
            </w:pPr>
            <w:r>
              <w:t>Present</w:t>
            </w:r>
          </w:p>
        </w:tc>
        <w:tc>
          <w:tcPr>
            <w:tcW w:w="984" w:type="dxa"/>
          </w:tcPr>
          <w:p w14:paraId="032FC561" w14:textId="77777777" w:rsidR="00DC5F6D" w:rsidRDefault="00A87631" w:rsidP="00653180">
            <w:pPr>
              <w:pStyle w:val="ListParagraph"/>
              <w:ind w:left="0"/>
              <w:jc w:val="center"/>
            </w:pPr>
            <w:r>
              <w:t>6.34</w:t>
            </w:r>
          </w:p>
        </w:tc>
        <w:tc>
          <w:tcPr>
            <w:tcW w:w="984" w:type="dxa"/>
          </w:tcPr>
          <w:p w14:paraId="5AB3BDD4" w14:textId="77777777" w:rsidR="00DC5F6D" w:rsidRDefault="00A87631" w:rsidP="00653180">
            <w:pPr>
              <w:pStyle w:val="ListParagraph"/>
              <w:ind w:left="0"/>
              <w:jc w:val="center"/>
            </w:pPr>
            <w:r>
              <w:t>6.36</w:t>
            </w:r>
          </w:p>
        </w:tc>
        <w:tc>
          <w:tcPr>
            <w:tcW w:w="1181" w:type="dxa"/>
          </w:tcPr>
          <w:p w14:paraId="3C865293" w14:textId="77777777" w:rsidR="00DC5F6D" w:rsidRDefault="00DC5F6D" w:rsidP="00653180">
            <w:pPr>
              <w:pStyle w:val="ListParagraph"/>
              <w:ind w:left="0"/>
              <w:jc w:val="center"/>
            </w:pPr>
            <w:r>
              <w:t>.01</w:t>
            </w:r>
          </w:p>
        </w:tc>
        <w:tc>
          <w:tcPr>
            <w:tcW w:w="1471" w:type="dxa"/>
          </w:tcPr>
          <w:p w14:paraId="081A92BE" w14:textId="77777777" w:rsidR="00DC5F6D" w:rsidRDefault="00DC5F6D" w:rsidP="00653180">
            <w:pPr>
              <w:pStyle w:val="ListParagraph"/>
              <w:ind w:left="0"/>
              <w:jc w:val="center"/>
            </w:pPr>
            <w:r>
              <w:t>1.74</w:t>
            </w:r>
          </w:p>
        </w:tc>
      </w:tr>
      <w:tr w:rsidR="00DC5F6D" w14:paraId="74795E0A" w14:textId="77777777" w:rsidTr="00653180">
        <w:tc>
          <w:tcPr>
            <w:tcW w:w="1517" w:type="dxa"/>
          </w:tcPr>
          <w:p w14:paraId="00828450" w14:textId="77777777" w:rsidR="00DC5F6D" w:rsidRDefault="00DC5F6D" w:rsidP="006D47FA">
            <w:pPr>
              <w:pStyle w:val="ListParagraph"/>
              <w:ind w:left="0"/>
            </w:pPr>
          </w:p>
        </w:tc>
        <w:tc>
          <w:tcPr>
            <w:tcW w:w="1416" w:type="dxa"/>
          </w:tcPr>
          <w:p w14:paraId="2A1A91A8" w14:textId="77777777" w:rsidR="00DC5F6D" w:rsidRDefault="00DC5F6D" w:rsidP="006D47FA">
            <w:pPr>
              <w:pStyle w:val="ListParagraph"/>
              <w:ind w:left="0"/>
            </w:pPr>
          </w:p>
        </w:tc>
        <w:tc>
          <w:tcPr>
            <w:tcW w:w="1303" w:type="dxa"/>
            <w:tcBorders>
              <w:bottom w:val="single" w:sz="4" w:space="0" w:color="auto"/>
            </w:tcBorders>
          </w:tcPr>
          <w:p w14:paraId="5852B465" w14:textId="77777777" w:rsidR="00DC5F6D" w:rsidRDefault="00DC5F6D" w:rsidP="006D47FA">
            <w:pPr>
              <w:pStyle w:val="ListParagraph"/>
              <w:ind w:left="0"/>
            </w:pPr>
            <w:r>
              <w:t>Future</w:t>
            </w:r>
          </w:p>
        </w:tc>
        <w:tc>
          <w:tcPr>
            <w:tcW w:w="984" w:type="dxa"/>
            <w:tcBorders>
              <w:bottom w:val="single" w:sz="4" w:space="0" w:color="auto"/>
            </w:tcBorders>
          </w:tcPr>
          <w:p w14:paraId="77DF6E47" w14:textId="77777777" w:rsidR="00DC5F6D" w:rsidRDefault="00A87631" w:rsidP="00653180">
            <w:pPr>
              <w:pStyle w:val="ListParagraph"/>
              <w:ind w:left="0"/>
              <w:jc w:val="center"/>
            </w:pPr>
            <w:r>
              <w:t>1.48</w:t>
            </w:r>
          </w:p>
        </w:tc>
        <w:tc>
          <w:tcPr>
            <w:tcW w:w="984" w:type="dxa"/>
            <w:tcBorders>
              <w:bottom w:val="single" w:sz="4" w:space="0" w:color="auto"/>
            </w:tcBorders>
          </w:tcPr>
          <w:p w14:paraId="51968B62" w14:textId="77777777" w:rsidR="00DC5F6D" w:rsidRDefault="00A87631" w:rsidP="00653180">
            <w:pPr>
              <w:pStyle w:val="ListParagraph"/>
              <w:ind w:left="0"/>
              <w:jc w:val="center"/>
            </w:pPr>
            <w:r>
              <w:t>1.35</w:t>
            </w:r>
          </w:p>
        </w:tc>
        <w:tc>
          <w:tcPr>
            <w:tcW w:w="1181" w:type="dxa"/>
            <w:tcBorders>
              <w:bottom w:val="single" w:sz="4" w:space="0" w:color="auto"/>
            </w:tcBorders>
          </w:tcPr>
          <w:p w14:paraId="176E1688" w14:textId="77777777" w:rsidR="00DC5F6D" w:rsidRDefault="00DC5F6D" w:rsidP="00653180">
            <w:pPr>
              <w:pStyle w:val="ListParagraph"/>
              <w:ind w:left="0"/>
              <w:jc w:val="center"/>
            </w:pPr>
            <w:r>
              <w:t>-.19</w:t>
            </w:r>
          </w:p>
        </w:tc>
        <w:tc>
          <w:tcPr>
            <w:tcW w:w="1471" w:type="dxa"/>
            <w:tcBorders>
              <w:bottom w:val="single" w:sz="4" w:space="0" w:color="auto"/>
            </w:tcBorders>
          </w:tcPr>
          <w:p w14:paraId="75631068" w14:textId="77777777" w:rsidR="00DC5F6D" w:rsidRDefault="00DC5F6D" w:rsidP="00653180">
            <w:pPr>
              <w:pStyle w:val="ListParagraph"/>
              <w:ind w:left="0"/>
              <w:jc w:val="center"/>
            </w:pPr>
            <w:r>
              <w:t>.68</w:t>
            </w:r>
          </w:p>
        </w:tc>
      </w:tr>
      <w:tr w:rsidR="00DC5F6D" w14:paraId="0D201154" w14:textId="77777777" w:rsidTr="00653180">
        <w:tc>
          <w:tcPr>
            <w:tcW w:w="1517" w:type="dxa"/>
          </w:tcPr>
          <w:p w14:paraId="6F199400" w14:textId="77777777" w:rsidR="00DC5F6D" w:rsidRDefault="00DC5F6D" w:rsidP="001106AB">
            <w:pPr>
              <w:pStyle w:val="ListParagraph"/>
              <w:ind w:left="0"/>
            </w:pPr>
            <w:r>
              <w:t>Senate</w:t>
            </w:r>
          </w:p>
        </w:tc>
        <w:tc>
          <w:tcPr>
            <w:tcW w:w="1416" w:type="dxa"/>
          </w:tcPr>
          <w:p w14:paraId="434FB345" w14:textId="77777777" w:rsidR="00DC5F6D" w:rsidRDefault="00DC5F6D" w:rsidP="001106AB">
            <w:pPr>
              <w:pStyle w:val="ListParagraph"/>
              <w:ind w:left="0"/>
            </w:pPr>
            <w:r>
              <w:t>Kosovo</w:t>
            </w:r>
          </w:p>
        </w:tc>
        <w:tc>
          <w:tcPr>
            <w:tcW w:w="1303" w:type="dxa"/>
            <w:tcBorders>
              <w:top w:val="single" w:sz="4" w:space="0" w:color="auto"/>
            </w:tcBorders>
          </w:tcPr>
          <w:p w14:paraId="639D2DDD" w14:textId="77777777" w:rsidR="00DC5F6D" w:rsidRDefault="00DC5F6D" w:rsidP="001106AB">
            <w:pPr>
              <w:pStyle w:val="ListParagraph"/>
              <w:ind w:left="0"/>
            </w:pPr>
            <w:r>
              <w:t>I</w:t>
            </w:r>
          </w:p>
        </w:tc>
        <w:tc>
          <w:tcPr>
            <w:tcW w:w="984" w:type="dxa"/>
            <w:tcBorders>
              <w:top w:val="single" w:sz="4" w:space="0" w:color="auto"/>
            </w:tcBorders>
          </w:tcPr>
          <w:p w14:paraId="1FF56249" w14:textId="77777777" w:rsidR="00DC5F6D" w:rsidRDefault="004071F9" w:rsidP="00653180">
            <w:pPr>
              <w:pStyle w:val="ListParagraph"/>
              <w:ind w:left="0"/>
              <w:jc w:val="center"/>
            </w:pPr>
            <w:r>
              <w:t>2.29</w:t>
            </w:r>
          </w:p>
        </w:tc>
        <w:tc>
          <w:tcPr>
            <w:tcW w:w="984" w:type="dxa"/>
            <w:tcBorders>
              <w:top w:val="single" w:sz="4" w:space="0" w:color="auto"/>
            </w:tcBorders>
          </w:tcPr>
          <w:p w14:paraId="23C84CAF" w14:textId="77777777" w:rsidR="00DC5F6D" w:rsidRDefault="004071F9" w:rsidP="00653180">
            <w:pPr>
              <w:pStyle w:val="ListParagraph"/>
              <w:ind w:left="0"/>
              <w:jc w:val="center"/>
            </w:pPr>
            <w:r>
              <w:t>2.30</w:t>
            </w:r>
          </w:p>
        </w:tc>
        <w:tc>
          <w:tcPr>
            <w:tcW w:w="1181" w:type="dxa"/>
            <w:tcBorders>
              <w:top w:val="single" w:sz="4" w:space="0" w:color="auto"/>
            </w:tcBorders>
          </w:tcPr>
          <w:p w14:paraId="563297F6" w14:textId="77777777" w:rsidR="00DC5F6D" w:rsidRDefault="00DC5F6D" w:rsidP="00653180">
            <w:pPr>
              <w:pStyle w:val="ListParagraph"/>
              <w:ind w:left="0"/>
              <w:jc w:val="center"/>
            </w:pPr>
            <w:r>
              <w:t>.01</w:t>
            </w:r>
          </w:p>
        </w:tc>
        <w:tc>
          <w:tcPr>
            <w:tcW w:w="1471" w:type="dxa"/>
            <w:tcBorders>
              <w:top w:val="single" w:sz="4" w:space="0" w:color="auto"/>
            </w:tcBorders>
          </w:tcPr>
          <w:p w14:paraId="6DFC8FA8" w14:textId="77777777" w:rsidR="00DC5F6D" w:rsidRDefault="00DC5F6D" w:rsidP="00653180">
            <w:pPr>
              <w:pStyle w:val="ListParagraph"/>
              <w:ind w:left="0"/>
              <w:jc w:val="center"/>
            </w:pPr>
            <w:r>
              <w:t>1.15</w:t>
            </w:r>
          </w:p>
        </w:tc>
      </w:tr>
      <w:tr w:rsidR="00DC5F6D" w14:paraId="118AE4C6" w14:textId="77777777" w:rsidTr="00653180">
        <w:tc>
          <w:tcPr>
            <w:tcW w:w="1517" w:type="dxa"/>
          </w:tcPr>
          <w:p w14:paraId="22456935" w14:textId="77777777" w:rsidR="00DC5F6D" w:rsidRDefault="00DC5F6D" w:rsidP="001106AB">
            <w:pPr>
              <w:pStyle w:val="ListParagraph"/>
              <w:ind w:left="0"/>
            </w:pPr>
          </w:p>
        </w:tc>
        <w:tc>
          <w:tcPr>
            <w:tcW w:w="1416" w:type="dxa"/>
          </w:tcPr>
          <w:p w14:paraId="5BE1D7BD" w14:textId="77777777" w:rsidR="00DC5F6D" w:rsidRDefault="00DC5F6D" w:rsidP="001106AB">
            <w:pPr>
              <w:pStyle w:val="ListParagraph"/>
              <w:ind w:left="0"/>
            </w:pPr>
          </w:p>
        </w:tc>
        <w:tc>
          <w:tcPr>
            <w:tcW w:w="1303" w:type="dxa"/>
          </w:tcPr>
          <w:p w14:paraId="021E646D" w14:textId="77777777" w:rsidR="00DC5F6D" w:rsidRPr="000E629A" w:rsidRDefault="00DC5F6D" w:rsidP="001106AB">
            <w:pPr>
              <w:pStyle w:val="ListParagraph"/>
              <w:ind w:left="0"/>
              <w:rPr>
                <w:b/>
              </w:rPr>
            </w:pPr>
            <w:r w:rsidRPr="000E629A">
              <w:rPr>
                <w:b/>
              </w:rPr>
              <w:t>We</w:t>
            </w:r>
          </w:p>
        </w:tc>
        <w:tc>
          <w:tcPr>
            <w:tcW w:w="984" w:type="dxa"/>
          </w:tcPr>
          <w:p w14:paraId="62FF5940" w14:textId="77777777" w:rsidR="00DC5F6D" w:rsidRPr="000E629A" w:rsidRDefault="004071F9" w:rsidP="00653180">
            <w:pPr>
              <w:pStyle w:val="ListParagraph"/>
              <w:ind w:left="0"/>
              <w:jc w:val="center"/>
              <w:rPr>
                <w:b/>
              </w:rPr>
            </w:pPr>
            <w:r>
              <w:rPr>
                <w:b/>
              </w:rPr>
              <w:t>3.07</w:t>
            </w:r>
          </w:p>
        </w:tc>
        <w:tc>
          <w:tcPr>
            <w:tcW w:w="984" w:type="dxa"/>
          </w:tcPr>
          <w:p w14:paraId="790FDA2B" w14:textId="77777777" w:rsidR="00DC5F6D" w:rsidRPr="000E629A" w:rsidRDefault="004071F9" w:rsidP="00653180">
            <w:pPr>
              <w:pStyle w:val="ListParagraph"/>
              <w:ind w:left="0"/>
              <w:jc w:val="center"/>
              <w:rPr>
                <w:b/>
              </w:rPr>
            </w:pPr>
            <w:r>
              <w:rPr>
                <w:b/>
              </w:rPr>
              <w:t>1.54</w:t>
            </w:r>
          </w:p>
        </w:tc>
        <w:tc>
          <w:tcPr>
            <w:tcW w:w="1181" w:type="dxa"/>
          </w:tcPr>
          <w:p w14:paraId="7031A65E" w14:textId="77777777" w:rsidR="00DC5F6D" w:rsidRPr="000E629A" w:rsidRDefault="00DC5F6D" w:rsidP="00653180">
            <w:pPr>
              <w:pStyle w:val="ListParagraph"/>
              <w:ind w:left="0"/>
              <w:jc w:val="center"/>
              <w:rPr>
                <w:b/>
              </w:rPr>
            </w:pPr>
            <w:r w:rsidRPr="000E629A">
              <w:rPr>
                <w:b/>
              </w:rPr>
              <w:t>-1.65</w:t>
            </w:r>
          </w:p>
        </w:tc>
        <w:tc>
          <w:tcPr>
            <w:tcW w:w="1471" w:type="dxa"/>
          </w:tcPr>
          <w:p w14:paraId="3BC86301" w14:textId="77777777" w:rsidR="00DC5F6D" w:rsidRPr="000E629A" w:rsidRDefault="00DC5F6D" w:rsidP="00653180">
            <w:pPr>
              <w:pStyle w:val="ListParagraph"/>
              <w:ind w:left="0"/>
              <w:jc w:val="center"/>
              <w:rPr>
                <w:b/>
              </w:rPr>
            </w:pPr>
            <w:r w:rsidRPr="000E629A">
              <w:rPr>
                <w:b/>
              </w:rPr>
              <w:t>.93</w:t>
            </w:r>
          </w:p>
        </w:tc>
      </w:tr>
      <w:tr w:rsidR="00DC5F6D" w14:paraId="0AD349DD" w14:textId="77777777" w:rsidTr="00653180">
        <w:tc>
          <w:tcPr>
            <w:tcW w:w="1517" w:type="dxa"/>
          </w:tcPr>
          <w:p w14:paraId="18773761" w14:textId="77777777" w:rsidR="00DC5F6D" w:rsidRDefault="00DC5F6D" w:rsidP="001106AB">
            <w:pPr>
              <w:pStyle w:val="ListParagraph"/>
              <w:ind w:left="0"/>
            </w:pPr>
          </w:p>
        </w:tc>
        <w:tc>
          <w:tcPr>
            <w:tcW w:w="1416" w:type="dxa"/>
          </w:tcPr>
          <w:p w14:paraId="3094479A" w14:textId="77777777" w:rsidR="00DC5F6D" w:rsidRDefault="00DC5F6D" w:rsidP="001106AB">
            <w:pPr>
              <w:pStyle w:val="ListParagraph"/>
              <w:ind w:left="0"/>
            </w:pPr>
          </w:p>
        </w:tc>
        <w:tc>
          <w:tcPr>
            <w:tcW w:w="1303" w:type="dxa"/>
          </w:tcPr>
          <w:p w14:paraId="438B9DBC" w14:textId="77777777" w:rsidR="00DC5F6D" w:rsidRDefault="00DC5F6D" w:rsidP="001106AB">
            <w:pPr>
              <w:pStyle w:val="ListParagraph"/>
              <w:ind w:left="0"/>
            </w:pPr>
            <w:r>
              <w:t>He-She</w:t>
            </w:r>
          </w:p>
        </w:tc>
        <w:tc>
          <w:tcPr>
            <w:tcW w:w="984" w:type="dxa"/>
          </w:tcPr>
          <w:p w14:paraId="5E2F1760" w14:textId="77777777" w:rsidR="00DC5F6D" w:rsidRDefault="006F7AFB" w:rsidP="00653180">
            <w:pPr>
              <w:pStyle w:val="ListParagraph"/>
              <w:ind w:left="0"/>
              <w:jc w:val="center"/>
            </w:pPr>
            <w:r>
              <w:t>.48</w:t>
            </w:r>
          </w:p>
        </w:tc>
        <w:tc>
          <w:tcPr>
            <w:tcW w:w="984" w:type="dxa"/>
          </w:tcPr>
          <w:p w14:paraId="4FA0B529" w14:textId="77777777" w:rsidR="00DC5F6D" w:rsidRDefault="006F7AFB" w:rsidP="00653180">
            <w:pPr>
              <w:pStyle w:val="ListParagraph"/>
              <w:ind w:left="0"/>
              <w:jc w:val="center"/>
            </w:pPr>
            <w:r>
              <w:t>.47</w:t>
            </w:r>
          </w:p>
        </w:tc>
        <w:tc>
          <w:tcPr>
            <w:tcW w:w="1181" w:type="dxa"/>
          </w:tcPr>
          <w:p w14:paraId="6352C653" w14:textId="77777777" w:rsidR="00DC5F6D" w:rsidRDefault="00DC5F6D" w:rsidP="00653180">
            <w:pPr>
              <w:pStyle w:val="ListParagraph"/>
              <w:ind w:left="0"/>
              <w:jc w:val="center"/>
            </w:pPr>
            <w:r>
              <w:t>-.03</w:t>
            </w:r>
          </w:p>
        </w:tc>
        <w:tc>
          <w:tcPr>
            <w:tcW w:w="1471" w:type="dxa"/>
          </w:tcPr>
          <w:p w14:paraId="798F5596" w14:textId="77777777" w:rsidR="00DC5F6D" w:rsidRDefault="00DC5F6D" w:rsidP="00653180">
            <w:pPr>
              <w:pStyle w:val="ListParagraph"/>
              <w:ind w:left="0"/>
              <w:jc w:val="center"/>
            </w:pPr>
            <w:r>
              <w:t>.45</w:t>
            </w:r>
          </w:p>
        </w:tc>
      </w:tr>
      <w:tr w:rsidR="00DC5F6D" w14:paraId="2C8248D1" w14:textId="77777777" w:rsidTr="00653180">
        <w:tc>
          <w:tcPr>
            <w:tcW w:w="1517" w:type="dxa"/>
          </w:tcPr>
          <w:p w14:paraId="66C56C30" w14:textId="77777777" w:rsidR="00DC5F6D" w:rsidRDefault="00DC5F6D" w:rsidP="001106AB">
            <w:pPr>
              <w:pStyle w:val="ListParagraph"/>
              <w:ind w:left="0"/>
            </w:pPr>
          </w:p>
        </w:tc>
        <w:tc>
          <w:tcPr>
            <w:tcW w:w="1416" w:type="dxa"/>
          </w:tcPr>
          <w:p w14:paraId="3ED46386" w14:textId="77777777" w:rsidR="00DC5F6D" w:rsidRDefault="00DC5F6D" w:rsidP="001106AB">
            <w:pPr>
              <w:pStyle w:val="ListParagraph"/>
              <w:ind w:left="0"/>
            </w:pPr>
          </w:p>
        </w:tc>
        <w:tc>
          <w:tcPr>
            <w:tcW w:w="1303" w:type="dxa"/>
          </w:tcPr>
          <w:p w14:paraId="74FAEFB5" w14:textId="77777777" w:rsidR="00DC5F6D" w:rsidRPr="000E629A" w:rsidRDefault="00DC5F6D" w:rsidP="001106AB">
            <w:pPr>
              <w:pStyle w:val="ListParagraph"/>
              <w:ind w:left="0"/>
              <w:rPr>
                <w:b/>
              </w:rPr>
            </w:pPr>
            <w:r w:rsidRPr="000E629A">
              <w:rPr>
                <w:b/>
              </w:rPr>
              <w:t>They</w:t>
            </w:r>
          </w:p>
        </w:tc>
        <w:tc>
          <w:tcPr>
            <w:tcW w:w="984" w:type="dxa"/>
          </w:tcPr>
          <w:p w14:paraId="59CADF66" w14:textId="77777777" w:rsidR="00DC5F6D" w:rsidRPr="000E629A" w:rsidRDefault="006F7AFB" w:rsidP="00653180">
            <w:pPr>
              <w:pStyle w:val="ListParagraph"/>
              <w:ind w:left="0"/>
              <w:jc w:val="center"/>
              <w:rPr>
                <w:b/>
              </w:rPr>
            </w:pPr>
            <w:r>
              <w:rPr>
                <w:b/>
              </w:rPr>
              <w:t>.83</w:t>
            </w:r>
          </w:p>
        </w:tc>
        <w:tc>
          <w:tcPr>
            <w:tcW w:w="984" w:type="dxa"/>
          </w:tcPr>
          <w:p w14:paraId="56E93494" w14:textId="77777777" w:rsidR="00DC5F6D" w:rsidRPr="000E629A" w:rsidRDefault="006F7AFB" w:rsidP="00653180">
            <w:pPr>
              <w:pStyle w:val="ListParagraph"/>
              <w:ind w:left="0"/>
              <w:jc w:val="center"/>
              <w:rPr>
                <w:b/>
              </w:rPr>
            </w:pPr>
            <w:r>
              <w:rPr>
                <w:b/>
              </w:rPr>
              <w:t>.56</w:t>
            </w:r>
          </w:p>
        </w:tc>
        <w:tc>
          <w:tcPr>
            <w:tcW w:w="1181" w:type="dxa"/>
          </w:tcPr>
          <w:p w14:paraId="4B92FA84" w14:textId="77777777" w:rsidR="00DC5F6D" w:rsidRPr="000E629A" w:rsidRDefault="00DC5F6D" w:rsidP="00653180">
            <w:pPr>
              <w:pStyle w:val="ListParagraph"/>
              <w:ind w:left="0"/>
              <w:jc w:val="center"/>
              <w:rPr>
                <w:b/>
              </w:rPr>
            </w:pPr>
            <w:r w:rsidRPr="000E629A">
              <w:rPr>
                <w:b/>
              </w:rPr>
              <w:t>-.70</w:t>
            </w:r>
          </w:p>
        </w:tc>
        <w:tc>
          <w:tcPr>
            <w:tcW w:w="1471" w:type="dxa"/>
          </w:tcPr>
          <w:p w14:paraId="60A1713E" w14:textId="77777777" w:rsidR="00DC5F6D" w:rsidRPr="000E629A" w:rsidRDefault="00DC5F6D" w:rsidP="00653180">
            <w:pPr>
              <w:pStyle w:val="ListParagraph"/>
              <w:ind w:left="0"/>
              <w:jc w:val="center"/>
              <w:rPr>
                <w:b/>
              </w:rPr>
            </w:pPr>
            <w:r w:rsidRPr="000E629A">
              <w:rPr>
                <w:b/>
              </w:rPr>
              <w:t>.39</w:t>
            </w:r>
          </w:p>
        </w:tc>
      </w:tr>
      <w:tr w:rsidR="00DC5F6D" w14:paraId="7B7C3EA1" w14:textId="77777777" w:rsidTr="00653180">
        <w:tc>
          <w:tcPr>
            <w:tcW w:w="1517" w:type="dxa"/>
          </w:tcPr>
          <w:p w14:paraId="1D3045FB" w14:textId="77777777" w:rsidR="00DC5F6D" w:rsidRDefault="00DC5F6D" w:rsidP="001106AB">
            <w:pPr>
              <w:pStyle w:val="ListParagraph"/>
              <w:ind w:left="0"/>
            </w:pPr>
          </w:p>
        </w:tc>
        <w:tc>
          <w:tcPr>
            <w:tcW w:w="1416" w:type="dxa"/>
          </w:tcPr>
          <w:p w14:paraId="5FF96FAB" w14:textId="77777777" w:rsidR="00DC5F6D" w:rsidRDefault="00DC5F6D" w:rsidP="001106AB">
            <w:pPr>
              <w:pStyle w:val="ListParagraph"/>
              <w:ind w:left="0"/>
            </w:pPr>
          </w:p>
        </w:tc>
        <w:tc>
          <w:tcPr>
            <w:tcW w:w="1303" w:type="dxa"/>
          </w:tcPr>
          <w:p w14:paraId="7F3DE9E1" w14:textId="77777777" w:rsidR="00DC5F6D" w:rsidRDefault="00DC5F6D" w:rsidP="001106AB">
            <w:pPr>
              <w:pStyle w:val="ListParagraph"/>
              <w:ind w:left="0"/>
            </w:pPr>
            <w:r>
              <w:t>Past</w:t>
            </w:r>
          </w:p>
        </w:tc>
        <w:tc>
          <w:tcPr>
            <w:tcW w:w="984" w:type="dxa"/>
          </w:tcPr>
          <w:p w14:paraId="05425920" w14:textId="77777777" w:rsidR="00DC5F6D" w:rsidRDefault="006F7AFB" w:rsidP="00653180">
            <w:pPr>
              <w:pStyle w:val="ListParagraph"/>
              <w:ind w:left="0"/>
              <w:jc w:val="center"/>
            </w:pPr>
            <w:r>
              <w:t>2.00</w:t>
            </w:r>
          </w:p>
        </w:tc>
        <w:tc>
          <w:tcPr>
            <w:tcW w:w="984" w:type="dxa"/>
          </w:tcPr>
          <w:p w14:paraId="5D61C1D1" w14:textId="77777777" w:rsidR="00DC5F6D" w:rsidRDefault="006F7AFB" w:rsidP="00653180">
            <w:pPr>
              <w:pStyle w:val="ListParagraph"/>
              <w:ind w:left="0"/>
              <w:jc w:val="center"/>
            </w:pPr>
            <w:r>
              <w:t>2.05</w:t>
            </w:r>
          </w:p>
        </w:tc>
        <w:tc>
          <w:tcPr>
            <w:tcW w:w="1181" w:type="dxa"/>
          </w:tcPr>
          <w:p w14:paraId="0A555AAD" w14:textId="77777777" w:rsidR="00DC5F6D" w:rsidRDefault="00DC5F6D" w:rsidP="00653180">
            <w:pPr>
              <w:pStyle w:val="ListParagraph"/>
              <w:ind w:left="0"/>
              <w:jc w:val="center"/>
            </w:pPr>
            <w:r>
              <w:t>.05</w:t>
            </w:r>
          </w:p>
        </w:tc>
        <w:tc>
          <w:tcPr>
            <w:tcW w:w="1471" w:type="dxa"/>
          </w:tcPr>
          <w:p w14:paraId="078459F8" w14:textId="77777777" w:rsidR="00DC5F6D" w:rsidRDefault="00DC5F6D" w:rsidP="00653180">
            <w:pPr>
              <w:pStyle w:val="ListParagraph"/>
              <w:ind w:left="0"/>
              <w:jc w:val="center"/>
            </w:pPr>
            <w:r>
              <w:t>.87</w:t>
            </w:r>
          </w:p>
        </w:tc>
      </w:tr>
      <w:tr w:rsidR="00DC5F6D" w14:paraId="7F56B695" w14:textId="77777777" w:rsidTr="00653180">
        <w:tc>
          <w:tcPr>
            <w:tcW w:w="1517" w:type="dxa"/>
          </w:tcPr>
          <w:p w14:paraId="687BA7E3" w14:textId="77777777" w:rsidR="00DC5F6D" w:rsidRDefault="00DC5F6D" w:rsidP="001106AB">
            <w:pPr>
              <w:pStyle w:val="ListParagraph"/>
              <w:ind w:left="0"/>
            </w:pPr>
          </w:p>
        </w:tc>
        <w:tc>
          <w:tcPr>
            <w:tcW w:w="1416" w:type="dxa"/>
          </w:tcPr>
          <w:p w14:paraId="6AE4A3FA" w14:textId="77777777" w:rsidR="00DC5F6D" w:rsidRDefault="00DC5F6D" w:rsidP="001106AB">
            <w:pPr>
              <w:pStyle w:val="ListParagraph"/>
              <w:ind w:left="0"/>
            </w:pPr>
          </w:p>
        </w:tc>
        <w:tc>
          <w:tcPr>
            <w:tcW w:w="1303" w:type="dxa"/>
          </w:tcPr>
          <w:p w14:paraId="607398F7" w14:textId="77777777" w:rsidR="00DC5F6D" w:rsidRPr="000E629A" w:rsidRDefault="00DC5F6D" w:rsidP="001106AB">
            <w:pPr>
              <w:pStyle w:val="ListParagraph"/>
              <w:ind w:left="0"/>
              <w:rPr>
                <w:b/>
              </w:rPr>
            </w:pPr>
            <w:r w:rsidRPr="000E629A">
              <w:rPr>
                <w:b/>
              </w:rPr>
              <w:t>Present</w:t>
            </w:r>
          </w:p>
        </w:tc>
        <w:tc>
          <w:tcPr>
            <w:tcW w:w="984" w:type="dxa"/>
          </w:tcPr>
          <w:p w14:paraId="4DC03257" w14:textId="77777777" w:rsidR="00DC5F6D" w:rsidRPr="000E629A" w:rsidRDefault="006F7AFB" w:rsidP="00653180">
            <w:pPr>
              <w:pStyle w:val="ListParagraph"/>
              <w:ind w:left="0"/>
              <w:jc w:val="center"/>
              <w:rPr>
                <w:b/>
              </w:rPr>
            </w:pPr>
            <w:r>
              <w:rPr>
                <w:b/>
              </w:rPr>
              <w:t>8.23</w:t>
            </w:r>
          </w:p>
        </w:tc>
        <w:tc>
          <w:tcPr>
            <w:tcW w:w="984" w:type="dxa"/>
          </w:tcPr>
          <w:p w14:paraId="6158220C" w14:textId="77777777" w:rsidR="00DC5F6D" w:rsidRPr="000E629A" w:rsidRDefault="006F7AFB" w:rsidP="00653180">
            <w:pPr>
              <w:pStyle w:val="ListParagraph"/>
              <w:ind w:left="0"/>
              <w:jc w:val="center"/>
              <w:rPr>
                <w:b/>
              </w:rPr>
            </w:pPr>
            <w:r>
              <w:rPr>
                <w:b/>
              </w:rPr>
              <w:t>6.03</w:t>
            </w:r>
          </w:p>
        </w:tc>
        <w:tc>
          <w:tcPr>
            <w:tcW w:w="1181" w:type="dxa"/>
          </w:tcPr>
          <w:p w14:paraId="0D1F1C86" w14:textId="77777777" w:rsidR="00DC5F6D" w:rsidRPr="000E629A" w:rsidRDefault="00DC5F6D" w:rsidP="00653180">
            <w:pPr>
              <w:pStyle w:val="ListParagraph"/>
              <w:ind w:left="0"/>
              <w:jc w:val="center"/>
              <w:rPr>
                <w:b/>
              </w:rPr>
            </w:pPr>
            <w:r w:rsidRPr="000E629A">
              <w:rPr>
                <w:b/>
              </w:rPr>
              <w:t>-1.21</w:t>
            </w:r>
          </w:p>
        </w:tc>
        <w:tc>
          <w:tcPr>
            <w:tcW w:w="1471" w:type="dxa"/>
          </w:tcPr>
          <w:p w14:paraId="7D960550" w14:textId="77777777" w:rsidR="00DC5F6D" w:rsidRPr="000E629A" w:rsidRDefault="00DC5F6D" w:rsidP="00653180">
            <w:pPr>
              <w:pStyle w:val="ListParagraph"/>
              <w:ind w:left="0"/>
              <w:jc w:val="center"/>
              <w:rPr>
                <w:b/>
              </w:rPr>
            </w:pPr>
            <w:r w:rsidRPr="000E629A">
              <w:rPr>
                <w:b/>
              </w:rPr>
              <w:t>1.83</w:t>
            </w:r>
          </w:p>
        </w:tc>
      </w:tr>
      <w:tr w:rsidR="00DC5F6D" w14:paraId="210AB93E" w14:textId="77777777" w:rsidTr="00653180">
        <w:tc>
          <w:tcPr>
            <w:tcW w:w="1517" w:type="dxa"/>
          </w:tcPr>
          <w:p w14:paraId="3CA78151" w14:textId="77777777" w:rsidR="00DC5F6D" w:rsidRDefault="00DC5F6D" w:rsidP="001106AB">
            <w:pPr>
              <w:pStyle w:val="ListParagraph"/>
              <w:ind w:left="0"/>
            </w:pPr>
          </w:p>
        </w:tc>
        <w:tc>
          <w:tcPr>
            <w:tcW w:w="1416" w:type="dxa"/>
          </w:tcPr>
          <w:p w14:paraId="0118DEC4" w14:textId="77777777" w:rsidR="00DC5F6D" w:rsidRDefault="00DC5F6D" w:rsidP="001106AB">
            <w:pPr>
              <w:pStyle w:val="ListParagraph"/>
              <w:ind w:left="0"/>
            </w:pPr>
          </w:p>
        </w:tc>
        <w:tc>
          <w:tcPr>
            <w:tcW w:w="1303" w:type="dxa"/>
            <w:tcBorders>
              <w:bottom w:val="single" w:sz="4" w:space="0" w:color="auto"/>
            </w:tcBorders>
          </w:tcPr>
          <w:p w14:paraId="3226AC9E" w14:textId="77777777" w:rsidR="00DC5F6D" w:rsidRDefault="00DC5F6D" w:rsidP="001106AB">
            <w:pPr>
              <w:pStyle w:val="ListParagraph"/>
              <w:ind w:left="0"/>
            </w:pPr>
            <w:r>
              <w:t>Future</w:t>
            </w:r>
          </w:p>
        </w:tc>
        <w:tc>
          <w:tcPr>
            <w:tcW w:w="984" w:type="dxa"/>
            <w:tcBorders>
              <w:bottom w:val="single" w:sz="4" w:space="0" w:color="auto"/>
            </w:tcBorders>
          </w:tcPr>
          <w:p w14:paraId="10B8F1B5" w14:textId="77777777" w:rsidR="00DC5F6D" w:rsidRDefault="006F7AFB" w:rsidP="00653180">
            <w:pPr>
              <w:pStyle w:val="ListParagraph"/>
              <w:ind w:left="0"/>
              <w:jc w:val="center"/>
            </w:pPr>
            <w:r>
              <w:t>1.20</w:t>
            </w:r>
          </w:p>
        </w:tc>
        <w:tc>
          <w:tcPr>
            <w:tcW w:w="984" w:type="dxa"/>
            <w:tcBorders>
              <w:bottom w:val="single" w:sz="4" w:space="0" w:color="auto"/>
            </w:tcBorders>
          </w:tcPr>
          <w:p w14:paraId="221D7699" w14:textId="77777777" w:rsidR="00DC5F6D" w:rsidRDefault="006F7AFB" w:rsidP="00653180">
            <w:pPr>
              <w:pStyle w:val="ListParagraph"/>
              <w:ind w:left="0"/>
              <w:jc w:val="center"/>
            </w:pPr>
            <w:r>
              <w:t>1.06</w:t>
            </w:r>
          </w:p>
        </w:tc>
        <w:tc>
          <w:tcPr>
            <w:tcW w:w="1181" w:type="dxa"/>
            <w:tcBorders>
              <w:bottom w:val="single" w:sz="4" w:space="0" w:color="auto"/>
            </w:tcBorders>
          </w:tcPr>
          <w:p w14:paraId="5F5B9280" w14:textId="77777777" w:rsidR="00DC5F6D" w:rsidRDefault="00DC5F6D" w:rsidP="00653180">
            <w:pPr>
              <w:pStyle w:val="ListParagraph"/>
              <w:ind w:left="0"/>
              <w:jc w:val="center"/>
            </w:pPr>
            <w:r>
              <w:t>-.33</w:t>
            </w:r>
          </w:p>
        </w:tc>
        <w:tc>
          <w:tcPr>
            <w:tcW w:w="1471" w:type="dxa"/>
            <w:tcBorders>
              <w:bottom w:val="single" w:sz="4" w:space="0" w:color="auto"/>
            </w:tcBorders>
          </w:tcPr>
          <w:p w14:paraId="5710228F" w14:textId="77777777" w:rsidR="00DC5F6D" w:rsidRDefault="00DC5F6D" w:rsidP="00653180">
            <w:pPr>
              <w:pStyle w:val="ListParagraph"/>
              <w:ind w:left="0"/>
              <w:jc w:val="center"/>
            </w:pPr>
            <w:r>
              <w:t>.43</w:t>
            </w:r>
          </w:p>
        </w:tc>
      </w:tr>
      <w:tr w:rsidR="00DC5F6D" w14:paraId="2D0BEB2F" w14:textId="77777777" w:rsidTr="00653180">
        <w:tc>
          <w:tcPr>
            <w:tcW w:w="1517" w:type="dxa"/>
          </w:tcPr>
          <w:p w14:paraId="33714B94" w14:textId="77777777" w:rsidR="00DC5F6D" w:rsidRDefault="00DC5F6D" w:rsidP="00BD6407">
            <w:pPr>
              <w:pStyle w:val="ListParagraph"/>
              <w:ind w:left="0"/>
            </w:pPr>
            <w:r>
              <w:t>House</w:t>
            </w:r>
          </w:p>
        </w:tc>
        <w:tc>
          <w:tcPr>
            <w:tcW w:w="1416" w:type="dxa"/>
          </w:tcPr>
          <w:p w14:paraId="1C6D2E41" w14:textId="77777777" w:rsidR="00DC5F6D" w:rsidRDefault="00DC5F6D" w:rsidP="00BD6407">
            <w:pPr>
              <w:pStyle w:val="ListParagraph"/>
              <w:ind w:left="0"/>
            </w:pPr>
            <w:r>
              <w:t>Kosovo</w:t>
            </w:r>
          </w:p>
        </w:tc>
        <w:tc>
          <w:tcPr>
            <w:tcW w:w="1303" w:type="dxa"/>
            <w:tcBorders>
              <w:top w:val="single" w:sz="4" w:space="0" w:color="auto"/>
            </w:tcBorders>
          </w:tcPr>
          <w:p w14:paraId="23944403" w14:textId="77777777" w:rsidR="00DC5F6D" w:rsidRDefault="00DC5F6D" w:rsidP="00BD6407">
            <w:pPr>
              <w:pStyle w:val="ListParagraph"/>
              <w:ind w:left="0"/>
            </w:pPr>
            <w:r>
              <w:t>I</w:t>
            </w:r>
          </w:p>
        </w:tc>
        <w:tc>
          <w:tcPr>
            <w:tcW w:w="984" w:type="dxa"/>
            <w:tcBorders>
              <w:top w:val="single" w:sz="4" w:space="0" w:color="auto"/>
            </w:tcBorders>
          </w:tcPr>
          <w:p w14:paraId="0A01FD1C" w14:textId="77777777" w:rsidR="00DC5F6D" w:rsidRDefault="00C607A4" w:rsidP="00653180">
            <w:pPr>
              <w:pStyle w:val="ListParagraph"/>
              <w:ind w:left="0"/>
              <w:jc w:val="center"/>
            </w:pPr>
            <w:r>
              <w:t>1.77</w:t>
            </w:r>
          </w:p>
        </w:tc>
        <w:tc>
          <w:tcPr>
            <w:tcW w:w="984" w:type="dxa"/>
            <w:tcBorders>
              <w:top w:val="single" w:sz="4" w:space="0" w:color="auto"/>
            </w:tcBorders>
          </w:tcPr>
          <w:p w14:paraId="0957E2BB" w14:textId="77777777" w:rsidR="00DC5F6D" w:rsidRDefault="00C607A4" w:rsidP="00653180">
            <w:pPr>
              <w:pStyle w:val="ListParagraph"/>
              <w:ind w:left="0"/>
              <w:jc w:val="center"/>
            </w:pPr>
            <w:r>
              <w:t>2.20</w:t>
            </w:r>
          </w:p>
        </w:tc>
        <w:tc>
          <w:tcPr>
            <w:tcW w:w="1181" w:type="dxa"/>
            <w:tcBorders>
              <w:top w:val="single" w:sz="4" w:space="0" w:color="auto"/>
            </w:tcBorders>
          </w:tcPr>
          <w:p w14:paraId="0BA1E552" w14:textId="77777777" w:rsidR="00DC5F6D" w:rsidRDefault="00DC5F6D" w:rsidP="00653180">
            <w:pPr>
              <w:pStyle w:val="ListParagraph"/>
              <w:ind w:left="0"/>
              <w:jc w:val="center"/>
            </w:pPr>
            <w:r>
              <w:t>.34</w:t>
            </w:r>
          </w:p>
        </w:tc>
        <w:tc>
          <w:tcPr>
            <w:tcW w:w="1471" w:type="dxa"/>
            <w:tcBorders>
              <w:top w:val="single" w:sz="4" w:space="0" w:color="auto"/>
            </w:tcBorders>
          </w:tcPr>
          <w:p w14:paraId="5CE735E8" w14:textId="77777777" w:rsidR="00DC5F6D" w:rsidRDefault="00DC5F6D" w:rsidP="00653180">
            <w:pPr>
              <w:pStyle w:val="ListParagraph"/>
              <w:ind w:left="0"/>
              <w:jc w:val="center"/>
            </w:pPr>
            <w:r>
              <w:t>1.24</w:t>
            </w:r>
          </w:p>
        </w:tc>
      </w:tr>
      <w:tr w:rsidR="00DC5F6D" w14:paraId="6BF7C45E" w14:textId="77777777" w:rsidTr="00653180">
        <w:tc>
          <w:tcPr>
            <w:tcW w:w="1517" w:type="dxa"/>
          </w:tcPr>
          <w:p w14:paraId="3D4A451D" w14:textId="77777777" w:rsidR="00DC5F6D" w:rsidRDefault="00DC5F6D" w:rsidP="00BD6407">
            <w:pPr>
              <w:pStyle w:val="ListParagraph"/>
              <w:ind w:left="0"/>
            </w:pPr>
          </w:p>
        </w:tc>
        <w:tc>
          <w:tcPr>
            <w:tcW w:w="1416" w:type="dxa"/>
          </w:tcPr>
          <w:p w14:paraId="654A379C" w14:textId="77777777" w:rsidR="00DC5F6D" w:rsidRDefault="00DC5F6D" w:rsidP="00BD6407">
            <w:pPr>
              <w:pStyle w:val="ListParagraph"/>
              <w:ind w:left="0"/>
            </w:pPr>
          </w:p>
        </w:tc>
        <w:tc>
          <w:tcPr>
            <w:tcW w:w="1303" w:type="dxa"/>
          </w:tcPr>
          <w:p w14:paraId="6B443FD9" w14:textId="77777777" w:rsidR="00DC5F6D" w:rsidRDefault="00DC5F6D" w:rsidP="00BD6407">
            <w:pPr>
              <w:pStyle w:val="ListParagraph"/>
              <w:ind w:left="0"/>
            </w:pPr>
            <w:r>
              <w:t>We</w:t>
            </w:r>
          </w:p>
        </w:tc>
        <w:tc>
          <w:tcPr>
            <w:tcW w:w="984" w:type="dxa"/>
          </w:tcPr>
          <w:p w14:paraId="3452626A" w14:textId="77777777" w:rsidR="00DC5F6D" w:rsidRDefault="00C607A4" w:rsidP="00653180">
            <w:pPr>
              <w:pStyle w:val="ListParagraph"/>
              <w:ind w:left="0"/>
              <w:jc w:val="center"/>
            </w:pPr>
            <w:r>
              <w:t>3.13</w:t>
            </w:r>
          </w:p>
        </w:tc>
        <w:tc>
          <w:tcPr>
            <w:tcW w:w="984" w:type="dxa"/>
          </w:tcPr>
          <w:p w14:paraId="57965CA4" w14:textId="77777777" w:rsidR="00DC5F6D" w:rsidRDefault="00C607A4" w:rsidP="00653180">
            <w:pPr>
              <w:pStyle w:val="ListParagraph"/>
              <w:ind w:left="0"/>
              <w:jc w:val="center"/>
            </w:pPr>
            <w:r>
              <w:t>2.88</w:t>
            </w:r>
          </w:p>
        </w:tc>
        <w:tc>
          <w:tcPr>
            <w:tcW w:w="1181" w:type="dxa"/>
          </w:tcPr>
          <w:p w14:paraId="3E6CDB24" w14:textId="77777777" w:rsidR="00DC5F6D" w:rsidRDefault="00DC5F6D" w:rsidP="00653180">
            <w:pPr>
              <w:pStyle w:val="ListParagraph"/>
              <w:ind w:left="0"/>
              <w:jc w:val="center"/>
            </w:pPr>
            <w:r>
              <w:t>-.15</w:t>
            </w:r>
          </w:p>
        </w:tc>
        <w:tc>
          <w:tcPr>
            <w:tcW w:w="1471" w:type="dxa"/>
          </w:tcPr>
          <w:p w14:paraId="711FCC91" w14:textId="77777777" w:rsidR="00DC5F6D" w:rsidRDefault="00DC5F6D" w:rsidP="00653180">
            <w:pPr>
              <w:pStyle w:val="ListParagraph"/>
              <w:ind w:left="0"/>
              <w:jc w:val="center"/>
            </w:pPr>
            <w:r>
              <w:t>1.71</w:t>
            </w:r>
          </w:p>
        </w:tc>
      </w:tr>
      <w:tr w:rsidR="00DC5F6D" w14:paraId="5EE2C804" w14:textId="77777777" w:rsidTr="00653180">
        <w:tc>
          <w:tcPr>
            <w:tcW w:w="1517" w:type="dxa"/>
          </w:tcPr>
          <w:p w14:paraId="1B35475B" w14:textId="77777777" w:rsidR="00DC5F6D" w:rsidRDefault="00DC5F6D" w:rsidP="00BD6407">
            <w:pPr>
              <w:pStyle w:val="ListParagraph"/>
              <w:ind w:left="0"/>
            </w:pPr>
          </w:p>
        </w:tc>
        <w:tc>
          <w:tcPr>
            <w:tcW w:w="1416" w:type="dxa"/>
          </w:tcPr>
          <w:p w14:paraId="65FF359D" w14:textId="77777777" w:rsidR="00DC5F6D" w:rsidRDefault="00DC5F6D" w:rsidP="00BD6407">
            <w:pPr>
              <w:pStyle w:val="ListParagraph"/>
              <w:ind w:left="0"/>
            </w:pPr>
          </w:p>
        </w:tc>
        <w:tc>
          <w:tcPr>
            <w:tcW w:w="1303" w:type="dxa"/>
          </w:tcPr>
          <w:p w14:paraId="0AB8B3C9" w14:textId="77777777" w:rsidR="00DC5F6D" w:rsidRDefault="00DC5F6D" w:rsidP="00BD6407">
            <w:pPr>
              <w:pStyle w:val="ListParagraph"/>
              <w:ind w:left="0"/>
            </w:pPr>
            <w:r>
              <w:t>He-She</w:t>
            </w:r>
          </w:p>
        </w:tc>
        <w:tc>
          <w:tcPr>
            <w:tcW w:w="984" w:type="dxa"/>
          </w:tcPr>
          <w:p w14:paraId="6AD5E123" w14:textId="77777777" w:rsidR="00DC5F6D" w:rsidRDefault="00C607A4" w:rsidP="00653180">
            <w:pPr>
              <w:pStyle w:val="ListParagraph"/>
              <w:ind w:left="0"/>
              <w:jc w:val="center"/>
            </w:pPr>
            <w:r>
              <w:t>.49</w:t>
            </w:r>
          </w:p>
        </w:tc>
        <w:tc>
          <w:tcPr>
            <w:tcW w:w="984" w:type="dxa"/>
          </w:tcPr>
          <w:p w14:paraId="2A2AE19E" w14:textId="77777777" w:rsidR="00DC5F6D" w:rsidRDefault="00C607A4" w:rsidP="00653180">
            <w:pPr>
              <w:pStyle w:val="ListParagraph"/>
              <w:ind w:left="0"/>
              <w:jc w:val="center"/>
            </w:pPr>
            <w:r>
              <w:t>.56</w:t>
            </w:r>
          </w:p>
        </w:tc>
        <w:tc>
          <w:tcPr>
            <w:tcW w:w="1181" w:type="dxa"/>
          </w:tcPr>
          <w:p w14:paraId="4A1E4570" w14:textId="77777777" w:rsidR="00DC5F6D" w:rsidRDefault="00DC5F6D" w:rsidP="00653180">
            <w:pPr>
              <w:pStyle w:val="ListParagraph"/>
              <w:ind w:left="0"/>
              <w:jc w:val="center"/>
            </w:pPr>
            <w:r>
              <w:t>.11</w:t>
            </w:r>
          </w:p>
        </w:tc>
        <w:tc>
          <w:tcPr>
            <w:tcW w:w="1471" w:type="dxa"/>
          </w:tcPr>
          <w:p w14:paraId="065AA7C4" w14:textId="77777777" w:rsidR="00DC5F6D" w:rsidRDefault="00DC5F6D" w:rsidP="00653180">
            <w:pPr>
              <w:pStyle w:val="ListParagraph"/>
              <w:ind w:left="0"/>
              <w:jc w:val="center"/>
            </w:pPr>
            <w:r>
              <w:t>.60</w:t>
            </w:r>
          </w:p>
        </w:tc>
      </w:tr>
      <w:tr w:rsidR="00DC5F6D" w14:paraId="1040BEF5" w14:textId="77777777" w:rsidTr="00653180">
        <w:tc>
          <w:tcPr>
            <w:tcW w:w="1517" w:type="dxa"/>
          </w:tcPr>
          <w:p w14:paraId="3D203C09" w14:textId="77777777" w:rsidR="00DC5F6D" w:rsidRDefault="00DC5F6D" w:rsidP="00BD6407">
            <w:pPr>
              <w:pStyle w:val="ListParagraph"/>
              <w:ind w:left="0"/>
            </w:pPr>
          </w:p>
        </w:tc>
        <w:tc>
          <w:tcPr>
            <w:tcW w:w="1416" w:type="dxa"/>
          </w:tcPr>
          <w:p w14:paraId="18AC0568" w14:textId="77777777" w:rsidR="00DC5F6D" w:rsidRDefault="00DC5F6D" w:rsidP="00BD6407">
            <w:pPr>
              <w:pStyle w:val="ListParagraph"/>
              <w:ind w:left="0"/>
            </w:pPr>
          </w:p>
        </w:tc>
        <w:tc>
          <w:tcPr>
            <w:tcW w:w="1303" w:type="dxa"/>
          </w:tcPr>
          <w:p w14:paraId="1A581BFC" w14:textId="77777777" w:rsidR="00DC5F6D" w:rsidRDefault="00DC5F6D" w:rsidP="00BD6407">
            <w:pPr>
              <w:pStyle w:val="ListParagraph"/>
              <w:ind w:left="0"/>
            </w:pPr>
            <w:r>
              <w:t>They</w:t>
            </w:r>
          </w:p>
        </w:tc>
        <w:tc>
          <w:tcPr>
            <w:tcW w:w="984" w:type="dxa"/>
          </w:tcPr>
          <w:p w14:paraId="413644AD" w14:textId="77777777" w:rsidR="00DC5F6D" w:rsidRDefault="00C607A4" w:rsidP="00653180">
            <w:pPr>
              <w:pStyle w:val="ListParagraph"/>
              <w:ind w:left="0"/>
              <w:jc w:val="center"/>
            </w:pPr>
            <w:r>
              <w:t>.65</w:t>
            </w:r>
          </w:p>
        </w:tc>
        <w:tc>
          <w:tcPr>
            <w:tcW w:w="984" w:type="dxa"/>
          </w:tcPr>
          <w:p w14:paraId="59F5682E" w14:textId="77777777" w:rsidR="00DC5F6D" w:rsidRDefault="00C607A4" w:rsidP="00653180">
            <w:pPr>
              <w:pStyle w:val="ListParagraph"/>
              <w:ind w:left="0"/>
              <w:jc w:val="center"/>
            </w:pPr>
            <w:r>
              <w:t>.85</w:t>
            </w:r>
          </w:p>
        </w:tc>
        <w:tc>
          <w:tcPr>
            <w:tcW w:w="1181" w:type="dxa"/>
          </w:tcPr>
          <w:p w14:paraId="36AA838E" w14:textId="77777777" w:rsidR="00DC5F6D" w:rsidRDefault="00DC5F6D" w:rsidP="00653180">
            <w:pPr>
              <w:pStyle w:val="ListParagraph"/>
              <w:ind w:left="0"/>
              <w:jc w:val="center"/>
            </w:pPr>
            <w:r>
              <w:t>.26</w:t>
            </w:r>
          </w:p>
        </w:tc>
        <w:tc>
          <w:tcPr>
            <w:tcW w:w="1471" w:type="dxa"/>
          </w:tcPr>
          <w:p w14:paraId="4685A611" w14:textId="77777777" w:rsidR="00DC5F6D" w:rsidRDefault="00DC5F6D" w:rsidP="00653180">
            <w:pPr>
              <w:pStyle w:val="ListParagraph"/>
              <w:ind w:left="0"/>
              <w:jc w:val="center"/>
            </w:pPr>
            <w:r>
              <w:t>.74</w:t>
            </w:r>
          </w:p>
        </w:tc>
      </w:tr>
      <w:tr w:rsidR="00DC5F6D" w14:paraId="34FE696D" w14:textId="77777777" w:rsidTr="00653180">
        <w:tc>
          <w:tcPr>
            <w:tcW w:w="1517" w:type="dxa"/>
          </w:tcPr>
          <w:p w14:paraId="1EEA7C3F" w14:textId="77777777" w:rsidR="00DC5F6D" w:rsidRDefault="00DC5F6D" w:rsidP="00BD6407">
            <w:pPr>
              <w:pStyle w:val="ListParagraph"/>
              <w:ind w:left="0"/>
            </w:pPr>
          </w:p>
        </w:tc>
        <w:tc>
          <w:tcPr>
            <w:tcW w:w="1416" w:type="dxa"/>
          </w:tcPr>
          <w:p w14:paraId="24AD3C0E" w14:textId="77777777" w:rsidR="00DC5F6D" w:rsidRDefault="00DC5F6D" w:rsidP="00BD6407">
            <w:pPr>
              <w:pStyle w:val="ListParagraph"/>
              <w:ind w:left="0"/>
            </w:pPr>
          </w:p>
        </w:tc>
        <w:tc>
          <w:tcPr>
            <w:tcW w:w="1303" w:type="dxa"/>
          </w:tcPr>
          <w:p w14:paraId="24E59D49" w14:textId="77777777" w:rsidR="00DC5F6D" w:rsidRDefault="00DC5F6D" w:rsidP="00BD6407">
            <w:pPr>
              <w:pStyle w:val="ListParagraph"/>
              <w:ind w:left="0"/>
            </w:pPr>
            <w:r>
              <w:t>Past</w:t>
            </w:r>
          </w:p>
        </w:tc>
        <w:tc>
          <w:tcPr>
            <w:tcW w:w="984" w:type="dxa"/>
          </w:tcPr>
          <w:p w14:paraId="17CFB5D7" w14:textId="77777777" w:rsidR="00DC5F6D" w:rsidRDefault="00C607A4" w:rsidP="00653180">
            <w:pPr>
              <w:pStyle w:val="ListParagraph"/>
              <w:ind w:left="0"/>
              <w:jc w:val="center"/>
            </w:pPr>
            <w:r>
              <w:t>2.07</w:t>
            </w:r>
          </w:p>
        </w:tc>
        <w:tc>
          <w:tcPr>
            <w:tcW w:w="984" w:type="dxa"/>
          </w:tcPr>
          <w:p w14:paraId="167FB50D" w14:textId="77777777" w:rsidR="00DC5F6D" w:rsidRDefault="00C607A4" w:rsidP="00653180">
            <w:pPr>
              <w:pStyle w:val="ListParagraph"/>
              <w:ind w:left="0"/>
              <w:jc w:val="center"/>
            </w:pPr>
            <w:r>
              <w:t>1.81</w:t>
            </w:r>
          </w:p>
        </w:tc>
        <w:tc>
          <w:tcPr>
            <w:tcW w:w="1181" w:type="dxa"/>
          </w:tcPr>
          <w:p w14:paraId="3C517330" w14:textId="77777777" w:rsidR="00DC5F6D" w:rsidRDefault="00DC5F6D" w:rsidP="00653180">
            <w:pPr>
              <w:pStyle w:val="ListParagraph"/>
              <w:ind w:left="0"/>
              <w:jc w:val="center"/>
            </w:pPr>
            <w:r>
              <w:t>-.23</w:t>
            </w:r>
          </w:p>
        </w:tc>
        <w:tc>
          <w:tcPr>
            <w:tcW w:w="1471" w:type="dxa"/>
          </w:tcPr>
          <w:p w14:paraId="1BBCCC82" w14:textId="77777777" w:rsidR="00DC5F6D" w:rsidRDefault="00DC5F6D" w:rsidP="00653180">
            <w:pPr>
              <w:pStyle w:val="ListParagraph"/>
              <w:ind w:left="0"/>
              <w:jc w:val="center"/>
            </w:pPr>
            <w:r>
              <w:t>1.15</w:t>
            </w:r>
          </w:p>
        </w:tc>
      </w:tr>
      <w:tr w:rsidR="00DC5F6D" w14:paraId="1A5BA8BD" w14:textId="77777777" w:rsidTr="00653180">
        <w:tc>
          <w:tcPr>
            <w:tcW w:w="1517" w:type="dxa"/>
          </w:tcPr>
          <w:p w14:paraId="1F1F380B" w14:textId="77777777" w:rsidR="00DC5F6D" w:rsidRDefault="00DC5F6D" w:rsidP="00BD6407">
            <w:pPr>
              <w:pStyle w:val="ListParagraph"/>
              <w:ind w:left="0"/>
            </w:pPr>
          </w:p>
        </w:tc>
        <w:tc>
          <w:tcPr>
            <w:tcW w:w="1416" w:type="dxa"/>
          </w:tcPr>
          <w:p w14:paraId="0BB5AF61" w14:textId="77777777" w:rsidR="00DC5F6D" w:rsidRDefault="00DC5F6D" w:rsidP="00BD6407">
            <w:pPr>
              <w:pStyle w:val="ListParagraph"/>
              <w:ind w:left="0"/>
            </w:pPr>
          </w:p>
        </w:tc>
        <w:tc>
          <w:tcPr>
            <w:tcW w:w="1303" w:type="dxa"/>
          </w:tcPr>
          <w:p w14:paraId="5415C440" w14:textId="77777777" w:rsidR="00DC5F6D" w:rsidRDefault="00DC5F6D" w:rsidP="00BD6407">
            <w:pPr>
              <w:pStyle w:val="ListParagraph"/>
              <w:ind w:left="0"/>
            </w:pPr>
            <w:r>
              <w:t>Present</w:t>
            </w:r>
          </w:p>
        </w:tc>
        <w:tc>
          <w:tcPr>
            <w:tcW w:w="984" w:type="dxa"/>
          </w:tcPr>
          <w:p w14:paraId="6216A4F0" w14:textId="77777777" w:rsidR="00DC5F6D" w:rsidRDefault="00C607A4" w:rsidP="00653180">
            <w:pPr>
              <w:pStyle w:val="ListParagraph"/>
              <w:ind w:left="0"/>
              <w:jc w:val="center"/>
            </w:pPr>
            <w:r>
              <w:t>7.27</w:t>
            </w:r>
          </w:p>
        </w:tc>
        <w:tc>
          <w:tcPr>
            <w:tcW w:w="984" w:type="dxa"/>
          </w:tcPr>
          <w:p w14:paraId="19C2754A" w14:textId="77777777" w:rsidR="00DC5F6D" w:rsidRDefault="00C607A4" w:rsidP="00653180">
            <w:pPr>
              <w:pStyle w:val="ListParagraph"/>
              <w:ind w:left="0"/>
              <w:jc w:val="center"/>
            </w:pPr>
            <w:r>
              <w:t>6.67</w:t>
            </w:r>
          </w:p>
        </w:tc>
        <w:tc>
          <w:tcPr>
            <w:tcW w:w="1181" w:type="dxa"/>
          </w:tcPr>
          <w:p w14:paraId="541A5326" w14:textId="77777777" w:rsidR="00DC5F6D" w:rsidRDefault="00DC5F6D" w:rsidP="00653180">
            <w:pPr>
              <w:pStyle w:val="ListParagraph"/>
              <w:ind w:left="0"/>
              <w:jc w:val="center"/>
            </w:pPr>
            <w:r>
              <w:t>-.27</w:t>
            </w:r>
          </w:p>
        </w:tc>
        <w:tc>
          <w:tcPr>
            <w:tcW w:w="1471" w:type="dxa"/>
          </w:tcPr>
          <w:p w14:paraId="10F4CCA6" w14:textId="77777777" w:rsidR="00DC5F6D" w:rsidRDefault="00DC5F6D" w:rsidP="00653180">
            <w:pPr>
              <w:pStyle w:val="ListParagraph"/>
              <w:ind w:left="0"/>
              <w:jc w:val="center"/>
            </w:pPr>
            <w:r>
              <w:t>2.17</w:t>
            </w:r>
          </w:p>
        </w:tc>
      </w:tr>
      <w:tr w:rsidR="00DC5F6D" w14:paraId="4070B036" w14:textId="77777777" w:rsidTr="00653180">
        <w:tc>
          <w:tcPr>
            <w:tcW w:w="1517" w:type="dxa"/>
          </w:tcPr>
          <w:p w14:paraId="4965297C" w14:textId="77777777" w:rsidR="00DC5F6D" w:rsidRDefault="00DC5F6D" w:rsidP="00BD6407">
            <w:pPr>
              <w:pStyle w:val="ListParagraph"/>
              <w:ind w:left="0"/>
            </w:pPr>
          </w:p>
        </w:tc>
        <w:tc>
          <w:tcPr>
            <w:tcW w:w="1416" w:type="dxa"/>
          </w:tcPr>
          <w:p w14:paraId="48F5572F" w14:textId="77777777" w:rsidR="00DC5F6D" w:rsidRDefault="00DC5F6D" w:rsidP="00BD6407">
            <w:pPr>
              <w:pStyle w:val="ListParagraph"/>
              <w:ind w:left="0"/>
            </w:pPr>
          </w:p>
        </w:tc>
        <w:tc>
          <w:tcPr>
            <w:tcW w:w="1303" w:type="dxa"/>
            <w:tcBorders>
              <w:bottom w:val="single" w:sz="4" w:space="0" w:color="auto"/>
            </w:tcBorders>
          </w:tcPr>
          <w:p w14:paraId="071E7773" w14:textId="77777777" w:rsidR="00DC5F6D" w:rsidRDefault="00DC5F6D" w:rsidP="00BD6407">
            <w:pPr>
              <w:pStyle w:val="ListParagraph"/>
              <w:ind w:left="0"/>
            </w:pPr>
            <w:r>
              <w:t>Future</w:t>
            </w:r>
          </w:p>
        </w:tc>
        <w:tc>
          <w:tcPr>
            <w:tcW w:w="984" w:type="dxa"/>
            <w:tcBorders>
              <w:bottom w:val="single" w:sz="4" w:space="0" w:color="auto"/>
            </w:tcBorders>
          </w:tcPr>
          <w:p w14:paraId="36D9344B" w14:textId="77777777" w:rsidR="00DC5F6D" w:rsidRDefault="00C607A4" w:rsidP="00653180">
            <w:pPr>
              <w:pStyle w:val="ListParagraph"/>
              <w:ind w:left="0"/>
              <w:jc w:val="center"/>
            </w:pPr>
            <w:r>
              <w:t>1.35</w:t>
            </w:r>
          </w:p>
        </w:tc>
        <w:tc>
          <w:tcPr>
            <w:tcW w:w="984" w:type="dxa"/>
            <w:tcBorders>
              <w:bottom w:val="single" w:sz="4" w:space="0" w:color="auto"/>
            </w:tcBorders>
          </w:tcPr>
          <w:p w14:paraId="45B7FFF5" w14:textId="77777777" w:rsidR="00DC5F6D" w:rsidRDefault="00C607A4" w:rsidP="00653180">
            <w:pPr>
              <w:pStyle w:val="ListParagraph"/>
              <w:ind w:left="0"/>
              <w:jc w:val="center"/>
            </w:pPr>
            <w:r>
              <w:t>1.64</w:t>
            </w:r>
          </w:p>
        </w:tc>
        <w:tc>
          <w:tcPr>
            <w:tcW w:w="1181" w:type="dxa"/>
            <w:tcBorders>
              <w:bottom w:val="single" w:sz="4" w:space="0" w:color="auto"/>
            </w:tcBorders>
          </w:tcPr>
          <w:p w14:paraId="3EE32442" w14:textId="77777777" w:rsidR="00DC5F6D" w:rsidRDefault="00DC5F6D" w:rsidP="00653180">
            <w:pPr>
              <w:pStyle w:val="ListParagraph"/>
              <w:ind w:left="0"/>
              <w:jc w:val="center"/>
            </w:pPr>
            <w:r>
              <w:t>.34</w:t>
            </w:r>
          </w:p>
        </w:tc>
        <w:tc>
          <w:tcPr>
            <w:tcW w:w="1471" w:type="dxa"/>
            <w:tcBorders>
              <w:bottom w:val="single" w:sz="4" w:space="0" w:color="auto"/>
            </w:tcBorders>
          </w:tcPr>
          <w:p w14:paraId="2AF2D20B" w14:textId="77777777" w:rsidR="00DC5F6D" w:rsidRDefault="00DC5F6D" w:rsidP="00653180">
            <w:pPr>
              <w:pStyle w:val="ListParagraph"/>
              <w:ind w:left="0"/>
              <w:jc w:val="center"/>
            </w:pPr>
            <w:r>
              <w:t>.86</w:t>
            </w:r>
          </w:p>
        </w:tc>
      </w:tr>
      <w:tr w:rsidR="00DC5F6D" w14:paraId="28914528" w14:textId="77777777" w:rsidTr="00653180">
        <w:tc>
          <w:tcPr>
            <w:tcW w:w="1517" w:type="dxa"/>
          </w:tcPr>
          <w:p w14:paraId="3E24D4A5" w14:textId="77777777" w:rsidR="00DC5F6D" w:rsidRDefault="00DC5F6D" w:rsidP="0062342F">
            <w:pPr>
              <w:pStyle w:val="ListParagraph"/>
              <w:ind w:left="0"/>
            </w:pPr>
            <w:r>
              <w:t>House</w:t>
            </w:r>
          </w:p>
        </w:tc>
        <w:tc>
          <w:tcPr>
            <w:tcW w:w="1416" w:type="dxa"/>
          </w:tcPr>
          <w:p w14:paraId="25FE8D4B" w14:textId="77777777" w:rsidR="00DC5F6D" w:rsidRDefault="00DC5F6D" w:rsidP="0062342F">
            <w:pPr>
              <w:pStyle w:val="ListParagraph"/>
              <w:ind w:left="0"/>
            </w:pPr>
            <w:r>
              <w:t>Libya</w:t>
            </w:r>
          </w:p>
        </w:tc>
        <w:tc>
          <w:tcPr>
            <w:tcW w:w="1303" w:type="dxa"/>
            <w:tcBorders>
              <w:top w:val="single" w:sz="4" w:space="0" w:color="auto"/>
            </w:tcBorders>
          </w:tcPr>
          <w:p w14:paraId="317F376F" w14:textId="77777777" w:rsidR="00DC5F6D" w:rsidRDefault="00DC5F6D" w:rsidP="0062342F">
            <w:pPr>
              <w:pStyle w:val="ListParagraph"/>
              <w:ind w:left="0"/>
            </w:pPr>
            <w:r>
              <w:t>I</w:t>
            </w:r>
          </w:p>
        </w:tc>
        <w:tc>
          <w:tcPr>
            <w:tcW w:w="984" w:type="dxa"/>
            <w:tcBorders>
              <w:top w:val="single" w:sz="4" w:space="0" w:color="auto"/>
            </w:tcBorders>
          </w:tcPr>
          <w:p w14:paraId="787E7836" w14:textId="77777777" w:rsidR="00DC5F6D" w:rsidRDefault="00981385" w:rsidP="00653180">
            <w:pPr>
              <w:pStyle w:val="ListParagraph"/>
              <w:ind w:left="0"/>
              <w:jc w:val="center"/>
            </w:pPr>
            <w:r>
              <w:t>2.30</w:t>
            </w:r>
          </w:p>
        </w:tc>
        <w:tc>
          <w:tcPr>
            <w:tcW w:w="984" w:type="dxa"/>
            <w:tcBorders>
              <w:top w:val="single" w:sz="4" w:space="0" w:color="auto"/>
            </w:tcBorders>
          </w:tcPr>
          <w:p w14:paraId="26D6961F" w14:textId="77777777" w:rsidR="00DC5F6D" w:rsidRDefault="00981385" w:rsidP="00653180">
            <w:pPr>
              <w:pStyle w:val="ListParagraph"/>
              <w:ind w:left="0"/>
              <w:jc w:val="center"/>
            </w:pPr>
            <w:r>
              <w:t>2.28</w:t>
            </w:r>
          </w:p>
        </w:tc>
        <w:tc>
          <w:tcPr>
            <w:tcW w:w="1181" w:type="dxa"/>
            <w:tcBorders>
              <w:top w:val="single" w:sz="4" w:space="0" w:color="auto"/>
            </w:tcBorders>
          </w:tcPr>
          <w:p w14:paraId="1149E953" w14:textId="77777777" w:rsidR="00DC5F6D" w:rsidRDefault="00DC5F6D" w:rsidP="00653180">
            <w:pPr>
              <w:pStyle w:val="ListParagraph"/>
              <w:ind w:left="0"/>
              <w:jc w:val="center"/>
            </w:pPr>
            <w:r>
              <w:t>-.02</w:t>
            </w:r>
          </w:p>
        </w:tc>
        <w:tc>
          <w:tcPr>
            <w:tcW w:w="1471" w:type="dxa"/>
            <w:tcBorders>
              <w:top w:val="single" w:sz="4" w:space="0" w:color="auto"/>
            </w:tcBorders>
          </w:tcPr>
          <w:p w14:paraId="5B88C242" w14:textId="77777777" w:rsidR="00DC5F6D" w:rsidRDefault="00DC5F6D" w:rsidP="00653180">
            <w:pPr>
              <w:pStyle w:val="ListParagraph"/>
              <w:ind w:left="0"/>
              <w:jc w:val="center"/>
            </w:pPr>
            <w:r>
              <w:t>1.25</w:t>
            </w:r>
          </w:p>
        </w:tc>
      </w:tr>
      <w:tr w:rsidR="00DC5F6D" w14:paraId="1FB7FEE2" w14:textId="77777777" w:rsidTr="00653180">
        <w:tc>
          <w:tcPr>
            <w:tcW w:w="1517" w:type="dxa"/>
          </w:tcPr>
          <w:p w14:paraId="6816C793" w14:textId="77777777" w:rsidR="00DC5F6D" w:rsidRDefault="00DC5F6D" w:rsidP="0062342F">
            <w:pPr>
              <w:pStyle w:val="ListParagraph"/>
              <w:ind w:left="0"/>
            </w:pPr>
          </w:p>
        </w:tc>
        <w:tc>
          <w:tcPr>
            <w:tcW w:w="1416" w:type="dxa"/>
          </w:tcPr>
          <w:p w14:paraId="4CF34D82" w14:textId="77777777" w:rsidR="00DC5F6D" w:rsidRDefault="00DC5F6D" w:rsidP="0062342F">
            <w:pPr>
              <w:pStyle w:val="ListParagraph"/>
              <w:ind w:left="0"/>
            </w:pPr>
          </w:p>
        </w:tc>
        <w:tc>
          <w:tcPr>
            <w:tcW w:w="1303" w:type="dxa"/>
          </w:tcPr>
          <w:p w14:paraId="2CF15EC7" w14:textId="77777777" w:rsidR="00DC5F6D" w:rsidRDefault="00DC5F6D" w:rsidP="0062342F">
            <w:pPr>
              <w:pStyle w:val="ListParagraph"/>
              <w:ind w:left="0"/>
            </w:pPr>
            <w:r>
              <w:t>We</w:t>
            </w:r>
          </w:p>
        </w:tc>
        <w:tc>
          <w:tcPr>
            <w:tcW w:w="984" w:type="dxa"/>
          </w:tcPr>
          <w:p w14:paraId="42CDB702" w14:textId="77777777" w:rsidR="00DC5F6D" w:rsidRDefault="00981385" w:rsidP="00653180">
            <w:pPr>
              <w:pStyle w:val="ListParagraph"/>
              <w:ind w:left="0"/>
              <w:jc w:val="center"/>
            </w:pPr>
            <w:r>
              <w:t>3.02</w:t>
            </w:r>
          </w:p>
        </w:tc>
        <w:tc>
          <w:tcPr>
            <w:tcW w:w="984" w:type="dxa"/>
          </w:tcPr>
          <w:p w14:paraId="68F2A2D6" w14:textId="77777777" w:rsidR="00DC5F6D" w:rsidRDefault="00981385" w:rsidP="00653180">
            <w:pPr>
              <w:pStyle w:val="ListParagraph"/>
              <w:ind w:left="0"/>
              <w:jc w:val="center"/>
            </w:pPr>
            <w:r>
              <w:t>2.89</w:t>
            </w:r>
          </w:p>
        </w:tc>
        <w:tc>
          <w:tcPr>
            <w:tcW w:w="1181" w:type="dxa"/>
          </w:tcPr>
          <w:p w14:paraId="3F5DE726" w14:textId="77777777" w:rsidR="00DC5F6D" w:rsidRDefault="00DC5F6D" w:rsidP="00653180">
            <w:pPr>
              <w:pStyle w:val="ListParagraph"/>
              <w:ind w:left="0"/>
              <w:jc w:val="center"/>
            </w:pPr>
            <w:r>
              <w:t>-.08</w:t>
            </w:r>
          </w:p>
        </w:tc>
        <w:tc>
          <w:tcPr>
            <w:tcW w:w="1471" w:type="dxa"/>
          </w:tcPr>
          <w:p w14:paraId="10797CDE" w14:textId="77777777" w:rsidR="00DC5F6D" w:rsidRDefault="00DC5F6D" w:rsidP="00653180">
            <w:pPr>
              <w:pStyle w:val="ListParagraph"/>
              <w:ind w:left="0"/>
              <w:jc w:val="center"/>
            </w:pPr>
            <w:r>
              <w:t>1.59</w:t>
            </w:r>
          </w:p>
        </w:tc>
      </w:tr>
      <w:tr w:rsidR="00DC5F6D" w14:paraId="125FC99C" w14:textId="77777777" w:rsidTr="00653180">
        <w:tc>
          <w:tcPr>
            <w:tcW w:w="1517" w:type="dxa"/>
          </w:tcPr>
          <w:p w14:paraId="70B9DA59" w14:textId="77777777" w:rsidR="00DC5F6D" w:rsidRDefault="00DC5F6D" w:rsidP="0062342F">
            <w:pPr>
              <w:pStyle w:val="ListParagraph"/>
              <w:ind w:left="0"/>
            </w:pPr>
          </w:p>
        </w:tc>
        <w:tc>
          <w:tcPr>
            <w:tcW w:w="1416" w:type="dxa"/>
          </w:tcPr>
          <w:p w14:paraId="24FA75A8" w14:textId="77777777" w:rsidR="00DC5F6D" w:rsidRDefault="00DC5F6D" w:rsidP="0062342F">
            <w:pPr>
              <w:pStyle w:val="ListParagraph"/>
              <w:ind w:left="0"/>
            </w:pPr>
          </w:p>
        </w:tc>
        <w:tc>
          <w:tcPr>
            <w:tcW w:w="1303" w:type="dxa"/>
          </w:tcPr>
          <w:p w14:paraId="3780621B" w14:textId="77777777" w:rsidR="00DC5F6D" w:rsidRDefault="00DC5F6D" w:rsidP="0062342F">
            <w:pPr>
              <w:pStyle w:val="ListParagraph"/>
              <w:ind w:left="0"/>
            </w:pPr>
            <w:r>
              <w:t>He-She</w:t>
            </w:r>
          </w:p>
        </w:tc>
        <w:tc>
          <w:tcPr>
            <w:tcW w:w="984" w:type="dxa"/>
          </w:tcPr>
          <w:p w14:paraId="534088DD" w14:textId="77777777" w:rsidR="00DC5F6D" w:rsidRDefault="00981385" w:rsidP="00653180">
            <w:pPr>
              <w:pStyle w:val="ListParagraph"/>
              <w:ind w:left="0"/>
              <w:jc w:val="center"/>
            </w:pPr>
            <w:r>
              <w:t>.57</w:t>
            </w:r>
          </w:p>
        </w:tc>
        <w:tc>
          <w:tcPr>
            <w:tcW w:w="984" w:type="dxa"/>
          </w:tcPr>
          <w:p w14:paraId="6DCF6511" w14:textId="77777777" w:rsidR="00DC5F6D" w:rsidRDefault="00981385" w:rsidP="00653180">
            <w:pPr>
              <w:pStyle w:val="ListParagraph"/>
              <w:ind w:left="0"/>
              <w:jc w:val="center"/>
            </w:pPr>
            <w:r>
              <w:t>.64</w:t>
            </w:r>
          </w:p>
        </w:tc>
        <w:tc>
          <w:tcPr>
            <w:tcW w:w="1181" w:type="dxa"/>
          </w:tcPr>
          <w:p w14:paraId="486534C3" w14:textId="77777777" w:rsidR="00DC5F6D" w:rsidRDefault="00DC5F6D" w:rsidP="00653180">
            <w:pPr>
              <w:pStyle w:val="ListParagraph"/>
              <w:ind w:left="0"/>
              <w:jc w:val="center"/>
            </w:pPr>
            <w:r>
              <w:t>.09</w:t>
            </w:r>
          </w:p>
        </w:tc>
        <w:tc>
          <w:tcPr>
            <w:tcW w:w="1471" w:type="dxa"/>
          </w:tcPr>
          <w:p w14:paraId="6DA5F2C8" w14:textId="77777777" w:rsidR="00DC5F6D" w:rsidRDefault="00DC5F6D" w:rsidP="00653180">
            <w:pPr>
              <w:pStyle w:val="ListParagraph"/>
              <w:ind w:left="0"/>
              <w:jc w:val="center"/>
            </w:pPr>
            <w:r>
              <w:t>.77</w:t>
            </w:r>
          </w:p>
        </w:tc>
      </w:tr>
      <w:tr w:rsidR="00DC5F6D" w14:paraId="7315DFE8" w14:textId="77777777" w:rsidTr="00653180">
        <w:tc>
          <w:tcPr>
            <w:tcW w:w="1517" w:type="dxa"/>
          </w:tcPr>
          <w:p w14:paraId="7FC62F53" w14:textId="77777777" w:rsidR="00DC5F6D" w:rsidRDefault="00DC5F6D" w:rsidP="0062342F">
            <w:pPr>
              <w:pStyle w:val="ListParagraph"/>
              <w:ind w:left="0"/>
            </w:pPr>
          </w:p>
        </w:tc>
        <w:tc>
          <w:tcPr>
            <w:tcW w:w="1416" w:type="dxa"/>
          </w:tcPr>
          <w:p w14:paraId="71127232" w14:textId="77777777" w:rsidR="00DC5F6D" w:rsidRDefault="00DC5F6D" w:rsidP="0062342F">
            <w:pPr>
              <w:pStyle w:val="ListParagraph"/>
              <w:ind w:left="0"/>
            </w:pPr>
          </w:p>
        </w:tc>
        <w:tc>
          <w:tcPr>
            <w:tcW w:w="1303" w:type="dxa"/>
          </w:tcPr>
          <w:p w14:paraId="6BB3C97E" w14:textId="77777777" w:rsidR="00DC5F6D" w:rsidRDefault="00DC5F6D" w:rsidP="0062342F">
            <w:pPr>
              <w:pStyle w:val="ListParagraph"/>
              <w:ind w:left="0"/>
            </w:pPr>
            <w:r>
              <w:t>They</w:t>
            </w:r>
          </w:p>
        </w:tc>
        <w:tc>
          <w:tcPr>
            <w:tcW w:w="984" w:type="dxa"/>
          </w:tcPr>
          <w:p w14:paraId="6B45E52D" w14:textId="77777777" w:rsidR="00DC5F6D" w:rsidRDefault="00981385" w:rsidP="00653180">
            <w:pPr>
              <w:pStyle w:val="ListParagraph"/>
              <w:ind w:left="0"/>
              <w:jc w:val="center"/>
            </w:pPr>
            <w:r>
              <w:t>.62</w:t>
            </w:r>
          </w:p>
        </w:tc>
        <w:tc>
          <w:tcPr>
            <w:tcW w:w="984" w:type="dxa"/>
          </w:tcPr>
          <w:p w14:paraId="7375D9AB" w14:textId="77777777" w:rsidR="00DC5F6D" w:rsidRDefault="00981385" w:rsidP="00653180">
            <w:pPr>
              <w:pStyle w:val="ListParagraph"/>
              <w:ind w:left="0"/>
              <w:jc w:val="center"/>
            </w:pPr>
            <w:r>
              <w:t>.58</w:t>
            </w:r>
          </w:p>
        </w:tc>
        <w:tc>
          <w:tcPr>
            <w:tcW w:w="1181" w:type="dxa"/>
          </w:tcPr>
          <w:p w14:paraId="0B2C6BBC" w14:textId="77777777" w:rsidR="00DC5F6D" w:rsidRDefault="00DC5F6D" w:rsidP="00653180">
            <w:pPr>
              <w:pStyle w:val="ListParagraph"/>
              <w:ind w:left="0"/>
              <w:jc w:val="center"/>
            </w:pPr>
            <w:r>
              <w:t>-.05</w:t>
            </w:r>
          </w:p>
        </w:tc>
        <w:tc>
          <w:tcPr>
            <w:tcW w:w="1471" w:type="dxa"/>
          </w:tcPr>
          <w:p w14:paraId="422DD374" w14:textId="77777777" w:rsidR="00DC5F6D" w:rsidRDefault="00DC5F6D" w:rsidP="00653180">
            <w:pPr>
              <w:pStyle w:val="ListParagraph"/>
              <w:ind w:left="0"/>
              <w:jc w:val="center"/>
            </w:pPr>
            <w:r>
              <w:t>.70</w:t>
            </w:r>
          </w:p>
        </w:tc>
      </w:tr>
      <w:tr w:rsidR="00DC5F6D" w14:paraId="48032CE0" w14:textId="77777777" w:rsidTr="00653180">
        <w:tc>
          <w:tcPr>
            <w:tcW w:w="1517" w:type="dxa"/>
          </w:tcPr>
          <w:p w14:paraId="293BAE29" w14:textId="77777777" w:rsidR="00DC5F6D" w:rsidRDefault="00DC5F6D" w:rsidP="0062342F">
            <w:pPr>
              <w:pStyle w:val="ListParagraph"/>
              <w:ind w:left="0"/>
            </w:pPr>
          </w:p>
        </w:tc>
        <w:tc>
          <w:tcPr>
            <w:tcW w:w="1416" w:type="dxa"/>
          </w:tcPr>
          <w:p w14:paraId="71951D81" w14:textId="77777777" w:rsidR="00DC5F6D" w:rsidRDefault="00DC5F6D" w:rsidP="0062342F">
            <w:pPr>
              <w:pStyle w:val="ListParagraph"/>
              <w:ind w:left="0"/>
            </w:pPr>
          </w:p>
        </w:tc>
        <w:tc>
          <w:tcPr>
            <w:tcW w:w="1303" w:type="dxa"/>
          </w:tcPr>
          <w:p w14:paraId="0099CA10" w14:textId="77777777" w:rsidR="00DC5F6D" w:rsidRDefault="00DC5F6D" w:rsidP="0062342F">
            <w:pPr>
              <w:pStyle w:val="ListParagraph"/>
              <w:ind w:left="0"/>
            </w:pPr>
            <w:r>
              <w:t>Past</w:t>
            </w:r>
          </w:p>
        </w:tc>
        <w:tc>
          <w:tcPr>
            <w:tcW w:w="984" w:type="dxa"/>
          </w:tcPr>
          <w:p w14:paraId="26E98661" w14:textId="77777777" w:rsidR="00DC5F6D" w:rsidRDefault="00981385" w:rsidP="00653180">
            <w:pPr>
              <w:pStyle w:val="ListParagraph"/>
              <w:ind w:left="0"/>
              <w:jc w:val="center"/>
            </w:pPr>
            <w:r>
              <w:t>1.63</w:t>
            </w:r>
          </w:p>
        </w:tc>
        <w:tc>
          <w:tcPr>
            <w:tcW w:w="984" w:type="dxa"/>
          </w:tcPr>
          <w:p w14:paraId="67D5046A" w14:textId="77777777" w:rsidR="00DC5F6D" w:rsidRDefault="00981385" w:rsidP="00653180">
            <w:pPr>
              <w:pStyle w:val="ListParagraph"/>
              <w:ind w:left="0"/>
              <w:jc w:val="center"/>
            </w:pPr>
            <w:r>
              <w:t>2.05</w:t>
            </w:r>
          </w:p>
        </w:tc>
        <w:tc>
          <w:tcPr>
            <w:tcW w:w="1181" w:type="dxa"/>
          </w:tcPr>
          <w:p w14:paraId="72173F4B" w14:textId="77777777" w:rsidR="00DC5F6D" w:rsidRDefault="00DC5F6D" w:rsidP="00653180">
            <w:pPr>
              <w:pStyle w:val="ListParagraph"/>
              <w:ind w:left="0"/>
              <w:jc w:val="center"/>
            </w:pPr>
            <w:r>
              <w:t>.28</w:t>
            </w:r>
          </w:p>
        </w:tc>
        <w:tc>
          <w:tcPr>
            <w:tcW w:w="1471" w:type="dxa"/>
          </w:tcPr>
          <w:p w14:paraId="00E40E3F" w14:textId="77777777" w:rsidR="00DC5F6D" w:rsidRDefault="00DC5F6D" w:rsidP="00653180">
            <w:pPr>
              <w:pStyle w:val="ListParagraph"/>
              <w:ind w:left="0"/>
              <w:jc w:val="center"/>
            </w:pPr>
            <w:r>
              <w:t>1.49</w:t>
            </w:r>
          </w:p>
        </w:tc>
      </w:tr>
      <w:tr w:rsidR="00DC5F6D" w14:paraId="6CBB34EF" w14:textId="77777777" w:rsidTr="00653180">
        <w:tc>
          <w:tcPr>
            <w:tcW w:w="1517" w:type="dxa"/>
          </w:tcPr>
          <w:p w14:paraId="3CDD6ABD" w14:textId="77777777" w:rsidR="00DC5F6D" w:rsidRDefault="00DC5F6D" w:rsidP="0062342F">
            <w:pPr>
              <w:pStyle w:val="ListParagraph"/>
              <w:ind w:left="0"/>
            </w:pPr>
          </w:p>
        </w:tc>
        <w:tc>
          <w:tcPr>
            <w:tcW w:w="1416" w:type="dxa"/>
          </w:tcPr>
          <w:p w14:paraId="1554A00A" w14:textId="77777777" w:rsidR="00DC5F6D" w:rsidRDefault="00DC5F6D" w:rsidP="0062342F">
            <w:pPr>
              <w:pStyle w:val="ListParagraph"/>
              <w:ind w:left="0"/>
            </w:pPr>
          </w:p>
        </w:tc>
        <w:tc>
          <w:tcPr>
            <w:tcW w:w="1303" w:type="dxa"/>
          </w:tcPr>
          <w:p w14:paraId="6A8C6F21" w14:textId="77777777" w:rsidR="00DC5F6D" w:rsidRDefault="00DC5F6D" w:rsidP="0062342F">
            <w:pPr>
              <w:pStyle w:val="ListParagraph"/>
              <w:ind w:left="0"/>
            </w:pPr>
            <w:r>
              <w:t>Present</w:t>
            </w:r>
          </w:p>
        </w:tc>
        <w:tc>
          <w:tcPr>
            <w:tcW w:w="984" w:type="dxa"/>
          </w:tcPr>
          <w:p w14:paraId="28903A7A" w14:textId="77777777" w:rsidR="00DC5F6D" w:rsidRDefault="00981385" w:rsidP="00653180">
            <w:pPr>
              <w:pStyle w:val="ListParagraph"/>
              <w:ind w:left="0"/>
              <w:jc w:val="center"/>
            </w:pPr>
            <w:r>
              <w:t>7.45</w:t>
            </w:r>
          </w:p>
        </w:tc>
        <w:tc>
          <w:tcPr>
            <w:tcW w:w="984" w:type="dxa"/>
          </w:tcPr>
          <w:p w14:paraId="40202CF7" w14:textId="77777777" w:rsidR="00DC5F6D" w:rsidRDefault="00981385" w:rsidP="00653180">
            <w:pPr>
              <w:pStyle w:val="ListParagraph"/>
              <w:ind w:left="0"/>
              <w:jc w:val="center"/>
            </w:pPr>
            <w:r>
              <w:t>6.99</w:t>
            </w:r>
          </w:p>
        </w:tc>
        <w:tc>
          <w:tcPr>
            <w:tcW w:w="1181" w:type="dxa"/>
          </w:tcPr>
          <w:p w14:paraId="2D69E6FC" w14:textId="77777777" w:rsidR="00DC5F6D" w:rsidRDefault="00DC5F6D" w:rsidP="00653180">
            <w:pPr>
              <w:pStyle w:val="ListParagraph"/>
              <w:ind w:left="0"/>
              <w:jc w:val="center"/>
            </w:pPr>
            <w:r>
              <w:t>-.18</w:t>
            </w:r>
          </w:p>
        </w:tc>
        <w:tc>
          <w:tcPr>
            <w:tcW w:w="1471" w:type="dxa"/>
          </w:tcPr>
          <w:p w14:paraId="52CF1090" w14:textId="77777777" w:rsidR="00DC5F6D" w:rsidRDefault="00DC5F6D" w:rsidP="00653180">
            <w:pPr>
              <w:pStyle w:val="ListParagraph"/>
              <w:ind w:left="0"/>
              <w:jc w:val="center"/>
            </w:pPr>
            <w:r>
              <w:t>2.49</w:t>
            </w:r>
          </w:p>
        </w:tc>
      </w:tr>
      <w:tr w:rsidR="00DC5F6D" w14:paraId="673F19F9" w14:textId="77777777" w:rsidTr="00653180">
        <w:tc>
          <w:tcPr>
            <w:tcW w:w="1517" w:type="dxa"/>
            <w:tcBorders>
              <w:bottom w:val="single" w:sz="4" w:space="0" w:color="auto"/>
            </w:tcBorders>
          </w:tcPr>
          <w:p w14:paraId="64EA9FBF" w14:textId="77777777" w:rsidR="00DC5F6D" w:rsidRDefault="00DC5F6D" w:rsidP="0062342F">
            <w:pPr>
              <w:pStyle w:val="ListParagraph"/>
              <w:ind w:left="0"/>
            </w:pPr>
          </w:p>
        </w:tc>
        <w:tc>
          <w:tcPr>
            <w:tcW w:w="1416" w:type="dxa"/>
            <w:tcBorders>
              <w:bottom w:val="single" w:sz="4" w:space="0" w:color="auto"/>
            </w:tcBorders>
          </w:tcPr>
          <w:p w14:paraId="17FF4405" w14:textId="77777777" w:rsidR="00DC5F6D" w:rsidRDefault="00DC5F6D" w:rsidP="0062342F">
            <w:pPr>
              <w:pStyle w:val="ListParagraph"/>
              <w:ind w:left="0"/>
            </w:pPr>
          </w:p>
        </w:tc>
        <w:tc>
          <w:tcPr>
            <w:tcW w:w="1303" w:type="dxa"/>
            <w:tcBorders>
              <w:bottom w:val="single" w:sz="4" w:space="0" w:color="auto"/>
            </w:tcBorders>
          </w:tcPr>
          <w:p w14:paraId="36E1414B" w14:textId="77777777" w:rsidR="00DC5F6D" w:rsidRDefault="00DC5F6D" w:rsidP="0062342F">
            <w:pPr>
              <w:pStyle w:val="ListParagraph"/>
              <w:ind w:left="0"/>
            </w:pPr>
            <w:r>
              <w:t>Future</w:t>
            </w:r>
          </w:p>
        </w:tc>
        <w:tc>
          <w:tcPr>
            <w:tcW w:w="984" w:type="dxa"/>
            <w:tcBorders>
              <w:bottom w:val="single" w:sz="4" w:space="0" w:color="auto"/>
            </w:tcBorders>
          </w:tcPr>
          <w:p w14:paraId="7A92AD0A" w14:textId="77777777" w:rsidR="00DC5F6D" w:rsidRDefault="00981385" w:rsidP="00653180">
            <w:pPr>
              <w:pStyle w:val="ListParagraph"/>
              <w:ind w:left="0"/>
              <w:jc w:val="center"/>
            </w:pPr>
            <w:r>
              <w:t>1.20</w:t>
            </w:r>
          </w:p>
        </w:tc>
        <w:tc>
          <w:tcPr>
            <w:tcW w:w="984" w:type="dxa"/>
            <w:tcBorders>
              <w:bottom w:val="single" w:sz="4" w:space="0" w:color="auto"/>
            </w:tcBorders>
          </w:tcPr>
          <w:p w14:paraId="68054DD2" w14:textId="77777777" w:rsidR="00DC5F6D" w:rsidRDefault="00981385" w:rsidP="00653180">
            <w:pPr>
              <w:pStyle w:val="ListParagraph"/>
              <w:ind w:left="0"/>
              <w:jc w:val="center"/>
            </w:pPr>
            <w:r>
              <w:t>1.25</w:t>
            </w:r>
          </w:p>
        </w:tc>
        <w:tc>
          <w:tcPr>
            <w:tcW w:w="1181" w:type="dxa"/>
            <w:tcBorders>
              <w:bottom w:val="single" w:sz="4" w:space="0" w:color="auto"/>
            </w:tcBorders>
          </w:tcPr>
          <w:p w14:paraId="2E874E6D" w14:textId="77777777" w:rsidR="00DC5F6D" w:rsidRDefault="00DC5F6D" w:rsidP="00653180">
            <w:pPr>
              <w:pStyle w:val="ListParagraph"/>
              <w:ind w:left="0"/>
              <w:jc w:val="center"/>
            </w:pPr>
            <w:r>
              <w:t>.06</w:t>
            </w:r>
          </w:p>
        </w:tc>
        <w:tc>
          <w:tcPr>
            <w:tcW w:w="1471" w:type="dxa"/>
            <w:tcBorders>
              <w:bottom w:val="single" w:sz="4" w:space="0" w:color="auto"/>
            </w:tcBorders>
          </w:tcPr>
          <w:p w14:paraId="17D87CF9" w14:textId="77777777" w:rsidR="00DC5F6D" w:rsidRDefault="00DC5F6D" w:rsidP="00653180">
            <w:pPr>
              <w:pStyle w:val="ListParagraph"/>
              <w:ind w:left="0"/>
              <w:jc w:val="center"/>
            </w:pPr>
            <w:r>
              <w:t>.76</w:t>
            </w:r>
          </w:p>
        </w:tc>
      </w:tr>
    </w:tbl>
    <w:p w14:paraId="7AD4442A" w14:textId="77777777" w:rsidR="00F51753" w:rsidRPr="00B23628" w:rsidRDefault="00F51753" w:rsidP="00E05BDF">
      <w:pPr>
        <w:pStyle w:val="ListParagraph"/>
      </w:pPr>
    </w:p>
    <w:sectPr w:rsidR="00F51753" w:rsidRPr="00B23628" w:rsidSect="00093089">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ayla Jordan" w:date="2015-09-29T22:22:00Z" w:initials="KJ">
    <w:p w14:paraId="651A686B" w14:textId="77777777" w:rsidR="003860DA" w:rsidRDefault="003860DA">
      <w:pPr>
        <w:pStyle w:val="CommentText"/>
      </w:pPr>
      <w:r>
        <w:rPr>
          <w:rStyle w:val="CommentReference"/>
        </w:rPr>
        <w:annotationRef/>
      </w:r>
      <w:r>
        <w:t xml:space="preserve">Right </w:t>
      </w:r>
      <w:proofErr w:type="gramStart"/>
      <w:r>
        <w:t>now</w:t>
      </w:r>
      <w:proofErr w:type="gramEnd"/>
      <w:r>
        <w:t xml:space="preserve"> this is rather short. Perhaps it could be submitted as a brief report. </w:t>
      </w:r>
    </w:p>
  </w:comment>
  <w:comment w:id="1" w:author="Kayla Jordan" w:date="2015-09-29T22:16:00Z" w:initials="KJ">
    <w:p w14:paraId="4124BB92" w14:textId="77777777" w:rsidR="003860DA" w:rsidRDefault="003860DA">
      <w:pPr>
        <w:pStyle w:val="CommentText"/>
      </w:pPr>
      <w:r>
        <w:rPr>
          <w:rStyle w:val="CommentReference"/>
        </w:rPr>
        <w:annotationRef/>
      </w:r>
      <w:r>
        <w:t>Thinking of adding a bit here about congressional voting and the previous research on Congress we have in the other papers.</w:t>
      </w:r>
    </w:p>
  </w:comment>
  <w:comment w:id="2" w:author="William Padfield" w:date="2017-08-30T15:55:00Z" w:initials="WP">
    <w:p w14:paraId="0D81AC3C" w14:textId="5CEB9631" w:rsidR="003860DA" w:rsidRDefault="003860DA">
      <w:pPr>
        <w:pStyle w:val="CommentText"/>
      </w:pPr>
      <w:r>
        <w:rPr>
          <w:rStyle w:val="CommentReference"/>
        </w:rPr>
        <w:annotationRef/>
      </w:r>
      <w:r>
        <w:t>Should we make clear the direction of the change of marital satisfaction (as well as the other ones for that matter)? I assume pronouns link to decreased marital satisfaction, but I don’t know for sure unless I seek out the cited work.</w:t>
      </w:r>
    </w:p>
  </w:comment>
  <w:comment w:id="3" w:author="William Padfield" w:date="2017-08-30T18:04:00Z" w:initials="WP">
    <w:p w14:paraId="0A579428" w14:textId="7B2B13E9" w:rsidR="003860DA" w:rsidRDefault="003860DA">
      <w:pPr>
        <w:pStyle w:val="CommentText"/>
      </w:pPr>
      <w:r>
        <w:rPr>
          <w:rStyle w:val="CommentReference"/>
        </w:rPr>
        <w:annotationRef/>
      </w:r>
      <w:r>
        <w:t>Lawmakers or regular folks?</w:t>
      </w:r>
    </w:p>
  </w:comment>
  <w:comment w:id="4" w:author="William Padfield" w:date="2017-08-30T18:12:00Z" w:initials="WP">
    <w:p w14:paraId="2A132656" w14:textId="49CE0A7A" w:rsidR="003860DA" w:rsidRDefault="003860DA">
      <w:pPr>
        <w:pStyle w:val="CommentText"/>
      </w:pPr>
      <w:r>
        <w:rPr>
          <w:rStyle w:val="CommentReference"/>
        </w:rPr>
        <w:annotationRef/>
      </w:r>
      <w:r>
        <w:t>What kinds of texts? What groups?</w:t>
      </w:r>
    </w:p>
  </w:comment>
  <w:comment w:id="5" w:author="William Padfield" w:date="2017-09-06T18:36:00Z" w:initials="WP">
    <w:p w14:paraId="16175A50" w14:textId="5D176ABB" w:rsidR="003860DA" w:rsidRDefault="003860DA">
      <w:pPr>
        <w:pStyle w:val="CommentText"/>
      </w:pPr>
      <w:r>
        <w:rPr>
          <w:rStyle w:val="CommentReference"/>
        </w:rPr>
        <w:annotationRef/>
      </w:r>
      <w:proofErr w:type="spellStart"/>
      <w:r>
        <w:t>Ingroup</w:t>
      </w:r>
      <w:proofErr w:type="spellEnd"/>
      <w:r>
        <w:t xml:space="preserve"> being the United States specifically, NATO allies?</w:t>
      </w:r>
    </w:p>
  </w:comment>
  <w:comment w:id="7" w:author="William Padfield" w:date="2017-09-05T17:33:00Z" w:initials="WP">
    <w:p w14:paraId="1259C504" w14:textId="16CF0B8B" w:rsidR="003860DA" w:rsidRDefault="003860DA">
      <w:pPr>
        <w:pStyle w:val="CommentText"/>
      </w:pPr>
      <w:r>
        <w:rPr>
          <w:rStyle w:val="CommentReference"/>
        </w:rPr>
        <w:annotationRef/>
      </w:r>
      <w:r>
        <w:t>Should we discuss the main arguments for and against involvement in Kosovo as argued by members of Congress - for more context?</w:t>
      </w:r>
    </w:p>
  </w:comment>
  <w:comment w:id="8" w:author="William Padfield" w:date="2017-09-05T17:37:00Z" w:initials="WP">
    <w:p w14:paraId="603462D1" w14:textId="0D57E1DB" w:rsidR="003860DA" w:rsidRDefault="003860DA">
      <w:pPr>
        <w:pStyle w:val="CommentText"/>
      </w:pPr>
      <w:r>
        <w:rPr>
          <w:rStyle w:val="CommentReference"/>
        </w:rPr>
        <w:annotationRef/>
      </w:r>
      <w:r>
        <w:t>Let’s discuss where we’ll put the discussion about why we’re not stating p values or t statistics. Results? General Discussion?</w:t>
      </w:r>
    </w:p>
  </w:comment>
  <w:comment w:id="9" w:author="William Padfield" w:date="2017-08-30T16:19:00Z" w:initials="WP">
    <w:p w14:paraId="32935609" w14:textId="6C3E4024" w:rsidR="003860DA" w:rsidRDefault="003860DA">
      <w:pPr>
        <w:pStyle w:val="CommentText"/>
      </w:pPr>
      <w:r>
        <w:rPr>
          <w:rStyle w:val="CommentReference"/>
        </w:rPr>
        <w:annotationRef/>
      </w:r>
      <w:r>
        <w:t>Was the resolution changed between when the Senate debated the bill and when the House did?</w:t>
      </w:r>
    </w:p>
  </w:comment>
  <w:comment w:id="10" w:author="William Padfield" w:date="2017-09-05T18:03:00Z" w:initials="WP">
    <w:p w14:paraId="451BFCAC" w14:textId="3831AA8D" w:rsidR="003860DA" w:rsidRDefault="003860DA">
      <w:pPr>
        <w:pStyle w:val="CommentText"/>
      </w:pPr>
      <w:r>
        <w:rPr>
          <w:rStyle w:val="CommentReference"/>
        </w:rPr>
        <w:annotationRef/>
      </w:r>
      <w:r>
        <w:t>The parliamentary procedures of both chambers differ as well. Since there are a lot more House members than Senators, strict limits on floor debates are in place in the House’s rules. Also, House members are often more compelled to vote along party lines than are Senators, often for the sake of organization and efficiency.</w:t>
      </w:r>
    </w:p>
  </w:comment>
  <w:comment w:id="11" w:author="William Padfield" w:date="2017-08-30T16:26:00Z" w:initials="WP">
    <w:p w14:paraId="7EBD1657" w14:textId="37F65325" w:rsidR="003860DA" w:rsidRDefault="003860DA">
      <w:pPr>
        <w:pStyle w:val="CommentText"/>
      </w:pPr>
      <w:r>
        <w:rPr>
          <w:rStyle w:val="CommentReference"/>
        </w:rPr>
        <w:annotationRef/>
      </w:r>
      <w:r>
        <w:t>NATO should be defined when it is first mentioned: underneath the Study 1a section.</w:t>
      </w:r>
    </w:p>
  </w:comment>
  <w:comment w:id="12" w:author="William Padfield" w:date="2017-08-30T18:18:00Z" w:initials="WP">
    <w:p w14:paraId="21AC2F75" w14:textId="1271DDBF" w:rsidR="003860DA" w:rsidRDefault="003860DA">
      <w:pPr>
        <w:pStyle w:val="CommentText"/>
      </w:pPr>
      <w:r>
        <w:rPr>
          <w:rStyle w:val="CommentReference"/>
        </w:rPr>
        <w:annotationRef/>
      </w:r>
      <w:r>
        <w:t>Can we find an example of this line of thinking in the Congressional Record? If so, would that be appropriate here?</w:t>
      </w:r>
    </w:p>
  </w:comment>
  <w:comment w:id="13" w:author="William Padfield" w:date="2017-09-05T18:14:00Z" w:initials="WP">
    <w:p w14:paraId="1F12EF89" w14:textId="1718AE9A" w:rsidR="003860DA" w:rsidRDefault="003860DA">
      <w:pPr>
        <w:pStyle w:val="CommentText"/>
      </w:pPr>
      <w:r>
        <w:rPr>
          <w:rStyle w:val="CommentReference"/>
        </w:rPr>
        <w:annotationRef/>
      </w:r>
      <w:r>
        <w:t>Any ideas as to what that might be?</w:t>
      </w:r>
    </w:p>
  </w:comment>
  <w:comment w:id="14" w:author="William Padfield" w:date="2017-09-06T18:41:00Z" w:initials="WP">
    <w:p w14:paraId="1D0B66A3" w14:textId="156C21B4" w:rsidR="003860DA" w:rsidRDefault="003860DA">
      <w:pPr>
        <w:pStyle w:val="CommentText"/>
      </w:pPr>
      <w:r>
        <w:rPr>
          <w:rStyle w:val="CommentReference"/>
        </w:rPr>
        <w:annotationRef/>
      </w:r>
      <w:r>
        <w:t>This needs expansion. The different historical eras, nature of the debated conflicts, and party-based congressional make-up/leadership all provide excellent opportunities for discussion in this section.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51A686B" w15:done="0"/>
  <w15:commentEx w15:paraId="4124BB92" w15:done="0"/>
  <w15:commentEx w15:paraId="0D81AC3C" w15:done="0"/>
  <w15:commentEx w15:paraId="0A579428" w15:done="0"/>
  <w15:commentEx w15:paraId="2A132656" w15:done="0"/>
  <w15:commentEx w15:paraId="16175A50" w15:done="0"/>
  <w15:commentEx w15:paraId="1259C504" w15:done="0"/>
  <w15:commentEx w15:paraId="603462D1" w15:done="0"/>
  <w15:commentEx w15:paraId="32935609" w15:done="0"/>
  <w15:commentEx w15:paraId="451BFCAC" w15:done="0"/>
  <w15:commentEx w15:paraId="7EBD1657" w15:done="0"/>
  <w15:commentEx w15:paraId="21AC2F75" w15:done="0"/>
  <w15:commentEx w15:paraId="1F12EF89" w15:done="0"/>
  <w15:commentEx w15:paraId="1D0B66A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AE521" w14:textId="77777777" w:rsidR="00EC7AC6" w:rsidRDefault="00EC7AC6" w:rsidP="00093089">
      <w:pPr>
        <w:spacing w:line="240" w:lineRule="auto"/>
      </w:pPr>
      <w:r>
        <w:separator/>
      </w:r>
    </w:p>
  </w:endnote>
  <w:endnote w:type="continuationSeparator" w:id="0">
    <w:p w14:paraId="4A3422B0" w14:textId="77777777" w:rsidR="00EC7AC6" w:rsidRDefault="00EC7AC6" w:rsidP="000930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34BE4" w14:textId="77777777" w:rsidR="00EC7AC6" w:rsidRDefault="00EC7AC6" w:rsidP="00093089">
      <w:pPr>
        <w:spacing w:line="240" w:lineRule="auto"/>
      </w:pPr>
      <w:r>
        <w:separator/>
      </w:r>
    </w:p>
  </w:footnote>
  <w:footnote w:type="continuationSeparator" w:id="0">
    <w:p w14:paraId="2CBC4950" w14:textId="77777777" w:rsidR="00EC7AC6" w:rsidRDefault="00EC7AC6" w:rsidP="0009308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87AC03" w14:textId="77777777" w:rsidR="003860DA" w:rsidRDefault="003860DA">
    <w:pPr>
      <w:pStyle w:val="Header"/>
    </w:pPr>
    <w:r>
      <w:t xml:space="preserve">ATTENTION IN WAR DECISIONS </w:t>
    </w:r>
    <w:r>
      <w:tab/>
    </w:r>
    <w:r>
      <w:tab/>
    </w:r>
    <w:sdt>
      <w:sdtPr>
        <w:id w:val="85046773"/>
        <w:docPartObj>
          <w:docPartGallery w:val="Page Numbers (Top of Page)"/>
          <w:docPartUnique/>
        </w:docPartObj>
      </w:sdtPr>
      <w:sdtEndPr/>
      <w:sdtContent>
        <w:r>
          <w:fldChar w:fldCharType="begin"/>
        </w:r>
        <w:r>
          <w:instrText xml:space="preserve"> PAGE   \* MERGEFORMAT </w:instrText>
        </w:r>
        <w:r>
          <w:fldChar w:fldCharType="separate"/>
        </w:r>
        <w:r w:rsidR="00E41050">
          <w:rPr>
            <w:noProof/>
          </w:rPr>
          <w:t>5</w:t>
        </w:r>
        <w:r>
          <w:rPr>
            <w:noProof/>
          </w:rPr>
          <w:fldChar w:fldCharType="end"/>
        </w:r>
      </w:sdtContent>
    </w:sdt>
  </w:p>
  <w:p w14:paraId="16DEDC90" w14:textId="77777777" w:rsidR="003860DA" w:rsidRDefault="003860D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A6519" w14:textId="77777777" w:rsidR="003860DA" w:rsidRDefault="003860DA">
    <w:pPr>
      <w:pStyle w:val="Header"/>
    </w:pPr>
    <w:r>
      <w:t>Running head: ATTENTION IN WAR DECISIONS</w:t>
    </w:r>
    <w:r>
      <w:tab/>
    </w:r>
    <w:sdt>
      <w:sdtPr>
        <w:id w:val="85046769"/>
        <w:docPartObj>
          <w:docPartGallery w:val="Page Numbers (Top of Page)"/>
          <w:docPartUnique/>
        </w:docPartObj>
      </w:sdtPr>
      <w:sdtEndPr/>
      <w:sdtContent>
        <w:r>
          <w:fldChar w:fldCharType="begin"/>
        </w:r>
        <w:r>
          <w:instrText xml:space="preserve"> PAGE   \* MERGEFORMAT </w:instrText>
        </w:r>
        <w:r>
          <w:fldChar w:fldCharType="separate"/>
        </w:r>
        <w:r w:rsidR="002548F0">
          <w:rPr>
            <w:noProof/>
          </w:rPr>
          <w:t>1</w:t>
        </w:r>
        <w:r>
          <w:rPr>
            <w:noProof/>
          </w:rPr>
          <w:fldChar w:fldCharType="end"/>
        </w:r>
      </w:sdtContent>
    </w:sdt>
  </w:p>
  <w:p w14:paraId="79C52D72" w14:textId="77777777" w:rsidR="003860DA" w:rsidRPr="00093089" w:rsidRDefault="003860DA" w:rsidP="0009308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E725A"/>
    <w:multiLevelType w:val="hybridMultilevel"/>
    <w:tmpl w:val="1316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CC60AB"/>
    <w:multiLevelType w:val="hybridMultilevel"/>
    <w:tmpl w:val="ACEE9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yla Jordan">
    <w15:presenceInfo w15:providerId="Windows Live" w15:userId="269fc4a6b5f1d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971"/>
    <w:rsid w:val="00001E8E"/>
    <w:rsid w:val="00005FFA"/>
    <w:rsid w:val="00010003"/>
    <w:rsid w:val="000115C9"/>
    <w:rsid w:val="00012FCD"/>
    <w:rsid w:val="00014A61"/>
    <w:rsid w:val="00015A48"/>
    <w:rsid w:val="00015E69"/>
    <w:rsid w:val="000165F1"/>
    <w:rsid w:val="00021327"/>
    <w:rsid w:val="000226B2"/>
    <w:rsid w:val="00025B0F"/>
    <w:rsid w:val="00034834"/>
    <w:rsid w:val="00035360"/>
    <w:rsid w:val="000409E4"/>
    <w:rsid w:val="0004165B"/>
    <w:rsid w:val="00045393"/>
    <w:rsid w:val="000534E0"/>
    <w:rsid w:val="00053C05"/>
    <w:rsid w:val="00055913"/>
    <w:rsid w:val="00057A4E"/>
    <w:rsid w:val="00063EBE"/>
    <w:rsid w:val="00064B9D"/>
    <w:rsid w:val="000713DB"/>
    <w:rsid w:val="00072DA2"/>
    <w:rsid w:val="00081012"/>
    <w:rsid w:val="00081C0B"/>
    <w:rsid w:val="00085C1E"/>
    <w:rsid w:val="0009021B"/>
    <w:rsid w:val="0009139F"/>
    <w:rsid w:val="00093089"/>
    <w:rsid w:val="000947F9"/>
    <w:rsid w:val="00095A52"/>
    <w:rsid w:val="00095FDA"/>
    <w:rsid w:val="000A21F6"/>
    <w:rsid w:val="000A2E9B"/>
    <w:rsid w:val="000A333D"/>
    <w:rsid w:val="000B0DB9"/>
    <w:rsid w:val="000B207D"/>
    <w:rsid w:val="000B4178"/>
    <w:rsid w:val="000B4376"/>
    <w:rsid w:val="000B5A3F"/>
    <w:rsid w:val="000C412F"/>
    <w:rsid w:val="000C7EF5"/>
    <w:rsid w:val="000C7F12"/>
    <w:rsid w:val="000D0177"/>
    <w:rsid w:val="000D0191"/>
    <w:rsid w:val="000D07E0"/>
    <w:rsid w:val="000D24CB"/>
    <w:rsid w:val="000D3D54"/>
    <w:rsid w:val="000D4D88"/>
    <w:rsid w:val="000D7519"/>
    <w:rsid w:val="000D774C"/>
    <w:rsid w:val="000E4E06"/>
    <w:rsid w:val="000E6227"/>
    <w:rsid w:val="000E629A"/>
    <w:rsid w:val="000E71DF"/>
    <w:rsid w:val="000E7ACC"/>
    <w:rsid w:val="000F01B7"/>
    <w:rsid w:val="000F13A5"/>
    <w:rsid w:val="000F2327"/>
    <w:rsid w:val="000F239C"/>
    <w:rsid w:val="000F464B"/>
    <w:rsid w:val="000F57B3"/>
    <w:rsid w:val="000F5A2E"/>
    <w:rsid w:val="000F6516"/>
    <w:rsid w:val="001000FA"/>
    <w:rsid w:val="0010127E"/>
    <w:rsid w:val="0010144D"/>
    <w:rsid w:val="00102A2A"/>
    <w:rsid w:val="00102BE9"/>
    <w:rsid w:val="0010367D"/>
    <w:rsid w:val="00105D9F"/>
    <w:rsid w:val="00106967"/>
    <w:rsid w:val="001077C7"/>
    <w:rsid w:val="0011031B"/>
    <w:rsid w:val="001106AB"/>
    <w:rsid w:val="00111450"/>
    <w:rsid w:val="0011308E"/>
    <w:rsid w:val="0011331F"/>
    <w:rsid w:val="00115E01"/>
    <w:rsid w:val="00115EE2"/>
    <w:rsid w:val="00116DA2"/>
    <w:rsid w:val="00121345"/>
    <w:rsid w:val="00123114"/>
    <w:rsid w:val="00125254"/>
    <w:rsid w:val="001300B5"/>
    <w:rsid w:val="00132404"/>
    <w:rsid w:val="001333DC"/>
    <w:rsid w:val="00133426"/>
    <w:rsid w:val="001338C8"/>
    <w:rsid w:val="00134113"/>
    <w:rsid w:val="00134B5D"/>
    <w:rsid w:val="00141B54"/>
    <w:rsid w:val="001424F1"/>
    <w:rsid w:val="0014253A"/>
    <w:rsid w:val="0014257C"/>
    <w:rsid w:val="00142835"/>
    <w:rsid w:val="001435A9"/>
    <w:rsid w:val="001453B4"/>
    <w:rsid w:val="00145EAA"/>
    <w:rsid w:val="001463FF"/>
    <w:rsid w:val="0015005E"/>
    <w:rsid w:val="00150271"/>
    <w:rsid w:val="001538B9"/>
    <w:rsid w:val="00154DB2"/>
    <w:rsid w:val="001579E3"/>
    <w:rsid w:val="00157E01"/>
    <w:rsid w:val="001600A9"/>
    <w:rsid w:val="001605E3"/>
    <w:rsid w:val="001606CB"/>
    <w:rsid w:val="00160A69"/>
    <w:rsid w:val="001629AE"/>
    <w:rsid w:val="00166247"/>
    <w:rsid w:val="00167D89"/>
    <w:rsid w:val="00171FD6"/>
    <w:rsid w:val="001725F6"/>
    <w:rsid w:val="00175DC4"/>
    <w:rsid w:val="0018391E"/>
    <w:rsid w:val="00186429"/>
    <w:rsid w:val="00193A3C"/>
    <w:rsid w:val="001949B6"/>
    <w:rsid w:val="00194CD4"/>
    <w:rsid w:val="001950A3"/>
    <w:rsid w:val="001957D4"/>
    <w:rsid w:val="001A1E7B"/>
    <w:rsid w:val="001A27D9"/>
    <w:rsid w:val="001A3B17"/>
    <w:rsid w:val="001A4CED"/>
    <w:rsid w:val="001A5736"/>
    <w:rsid w:val="001A7DC9"/>
    <w:rsid w:val="001B0D35"/>
    <w:rsid w:val="001B3FD7"/>
    <w:rsid w:val="001B50E1"/>
    <w:rsid w:val="001B5F26"/>
    <w:rsid w:val="001C0005"/>
    <w:rsid w:val="001C0046"/>
    <w:rsid w:val="001C0343"/>
    <w:rsid w:val="001C1C28"/>
    <w:rsid w:val="001C2382"/>
    <w:rsid w:val="001D0466"/>
    <w:rsid w:val="001D1E12"/>
    <w:rsid w:val="001D3E56"/>
    <w:rsid w:val="001D43FE"/>
    <w:rsid w:val="001D588E"/>
    <w:rsid w:val="001D687F"/>
    <w:rsid w:val="001E0C92"/>
    <w:rsid w:val="001E4829"/>
    <w:rsid w:val="001E52FA"/>
    <w:rsid w:val="001E7736"/>
    <w:rsid w:val="001E7A70"/>
    <w:rsid w:val="001F1A3C"/>
    <w:rsid w:val="001F1CC8"/>
    <w:rsid w:val="001F3C87"/>
    <w:rsid w:val="002027D1"/>
    <w:rsid w:val="00206424"/>
    <w:rsid w:val="0021004F"/>
    <w:rsid w:val="002110AA"/>
    <w:rsid w:val="002127C0"/>
    <w:rsid w:val="0022058A"/>
    <w:rsid w:val="002262AC"/>
    <w:rsid w:val="00226B34"/>
    <w:rsid w:val="00226D80"/>
    <w:rsid w:val="00226FC8"/>
    <w:rsid w:val="00231A88"/>
    <w:rsid w:val="00232741"/>
    <w:rsid w:val="00234C13"/>
    <w:rsid w:val="00235C3C"/>
    <w:rsid w:val="00236CE1"/>
    <w:rsid w:val="002376FE"/>
    <w:rsid w:val="00237F0B"/>
    <w:rsid w:val="0024337B"/>
    <w:rsid w:val="002510F6"/>
    <w:rsid w:val="002524DD"/>
    <w:rsid w:val="002530BF"/>
    <w:rsid w:val="002548F0"/>
    <w:rsid w:val="00255E62"/>
    <w:rsid w:val="00260281"/>
    <w:rsid w:val="00262FBC"/>
    <w:rsid w:val="00264F9C"/>
    <w:rsid w:val="00265DE6"/>
    <w:rsid w:val="00265F26"/>
    <w:rsid w:val="00270A37"/>
    <w:rsid w:val="00275707"/>
    <w:rsid w:val="00275DFE"/>
    <w:rsid w:val="002763A6"/>
    <w:rsid w:val="002767F1"/>
    <w:rsid w:val="00282047"/>
    <w:rsid w:val="00282E81"/>
    <w:rsid w:val="00286041"/>
    <w:rsid w:val="0029096B"/>
    <w:rsid w:val="0029138E"/>
    <w:rsid w:val="0029162E"/>
    <w:rsid w:val="00291AEA"/>
    <w:rsid w:val="00292C29"/>
    <w:rsid w:val="00295F96"/>
    <w:rsid w:val="00296324"/>
    <w:rsid w:val="0029786D"/>
    <w:rsid w:val="002A0B63"/>
    <w:rsid w:val="002A45A2"/>
    <w:rsid w:val="002A544C"/>
    <w:rsid w:val="002A5C57"/>
    <w:rsid w:val="002B15E6"/>
    <w:rsid w:val="002B3138"/>
    <w:rsid w:val="002B3966"/>
    <w:rsid w:val="002B449B"/>
    <w:rsid w:val="002B6FF2"/>
    <w:rsid w:val="002B7E4D"/>
    <w:rsid w:val="002C000F"/>
    <w:rsid w:val="002C26B6"/>
    <w:rsid w:val="002C2EF1"/>
    <w:rsid w:val="002C7369"/>
    <w:rsid w:val="002C7956"/>
    <w:rsid w:val="002D2D89"/>
    <w:rsid w:val="002D57AD"/>
    <w:rsid w:val="002D59DB"/>
    <w:rsid w:val="002D5DBF"/>
    <w:rsid w:val="002D6741"/>
    <w:rsid w:val="002D6A49"/>
    <w:rsid w:val="002E05EC"/>
    <w:rsid w:val="002E4D5E"/>
    <w:rsid w:val="002E4D8E"/>
    <w:rsid w:val="002E4E8D"/>
    <w:rsid w:val="002F03DC"/>
    <w:rsid w:val="002F1173"/>
    <w:rsid w:val="002F3FE3"/>
    <w:rsid w:val="002F415C"/>
    <w:rsid w:val="002F6160"/>
    <w:rsid w:val="002F7C5E"/>
    <w:rsid w:val="00301696"/>
    <w:rsid w:val="0030553B"/>
    <w:rsid w:val="00306192"/>
    <w:rsid w:val="00306369"/>
    <w:rsid w:val="00307323"/>
    <w:rsid w:val="00310769"/>
    <w:rsid w:val="00311988"/>
    <w:rsid w:val="00312A5A"/>
    <w:rsid w:val="00316647"/>
    <w:rsid w:val="003168C9"/>
    <w:rsid w:val="00322F4B"/>
    <w:rsid w:val="00323C4E"/>
    <w:rsid w:val="00324888"/>
    <w:rsid w:val="00325A9D"/>
    <w:rsid w:val="003302F0"/>
    <w:rsid w:val="0033288D"/>
    <w:rsid w:val="00332B0B"/>
    <w:rsid w:val="00340AC5"/>
    <w:rsid w:val="00342FE8"/>
    <w:rsid w:val="003452C7"/>
    <w:rsid w:val="00345542"/>
    <w:rsid w:val="003458C3"/>
    <w:rsid w:val="00350A5B"/>
    <w:rsid w:val="0035499A"/>
    <w:rsid w:val="00356498"/>
    <w:rsid w:val="0035787C"/>
    <w:rsid w:val="00357B8D"/>
    <w:rsid w:val="00360223"/>
    <w:rsid w:val="003609F4"/>
    <w:rsid w:val="003624CF"/>
    <w:rsid w:val="00364630"/>
    <w:rsid w:val="003649DB"/>
    <w:rsid w:val="00366549"/>
    <w:rsid w:val="00377722"/>
    <w:rsid w:val="00382D47"/>
    <w:rsid w:val="003858FA"/>
    <w:rsid w:val="003860DA"/>
    <w:rsid w:val="00387F9A"/>
    <w:rsid w:val="00391480"/>
    <w:rsid w:val="00391AE6"/>
    <w:rsid w:val="0039482B"/>
    <w:rsid w:val="003961A5"/>
    <w:rsid w:val="00396C42"/>
    <w:rsid w:val="003A0BAB"/>
    <w:rsid w:val="003A0C6C"/>
    <w:rsid w:val="003B0BBA"/>
    <w:rsid w:val="003B0E0D"/>
    <w:rsid w:val="003B484C"/>
    <w:rsid w:val="003B6330"/>
    <w:rsid w:val="003C0B8F"/>
    <w:rsid w:val="003C3C3D"/>
    <w:rsid w:val="003C437C"/>
    <w:rsid w:val="003C4CBF"/>
    <w:rsid w:val="003C6B8E"/>
    <w:rsid w:val="003C6C2C"/>
    <w:rsid w:val="003C7293"/>
    <w:rsid w:val="003D1FCE"/>
    <w:rsid w:val="003D2C34"/>
    <w:rsid w:val="003D366A"/>
    <w:rsid w:val="003D4F0C"/>
    <w:rsid w:val="003D52D5"/>
    <w:rsid w:val="003D5837"/>
    <w:rsid w:val="003D76F1"/>
    <w:rsid w:val="003E3E40"/>
    <w:rsid w:val="003E52C7"/>
    <w:rsid w:val="003E7934"/>
    <w:rsid w:val="003F10D7"/>
    <w:rsid w:val="003F42BF"/>
    <w:rsid w:val="003F6E95"/>
    <w:rsid w:val="003F6F21"/>
    <w:rsid w:val="003F7E47"/>
    <w:rsid w:val="00402361"/>
    <w:rsid w:val="004057DE"/>
    <w:rsid w:val="004071F9"/>
    <w:rsid w:val="00412BA5"/>
    <w:rsid w:val="004136F5"/>
    <w:rsid w:val="0041398E"/>
    <w:rsid w:val="0041528A"/>
    <w:rsid w:val="0041676D"/>
    <w:rsid w:val="00420FBE"/>
    <w:rsid w:val="00421C14"/>
    <w:rsid w:val="0042323B"/>
    <w:rsid w:val="0042349C"/>
    <w:rsid w:val="00423A7B"/>
    <w:rsid w:val="004261AA"/>
    <w:rsid w:val="004277F6"/>
    <w:rsid w:val="00431DED"/>
    <w:rsid w:val="00432124"/>
    <w:rsid w:val="004345F4"/>
    <w:rsid w:val="00436900"/>
    <w:rsid w:val="00437CC6"/>
    <w:rsid w:val="00440DD8"/>
    <w:rsid w:val="004420FF"/>
    <w:rsid w:val="00443DD8"/>
    <w:rsid w:val="0044681C"/>
    <w:rsid w:val="00446E7D"/>
    <w:rsid w:val="0045070E"/>
    <w:rsid w:val="00450DAA"/>
    <w:rsid w:val="00451925"/>
    <w:rsid w:val="0046039F"/>
    <w:rsid w:val="00461B1F"/>
    <w:rsid w:val="004620E7"/>
    <w:rsid w:val="004649D8"/>
    <w:rsid w:val="00466CF1"/>
    <w:rsid w:val="004675C9"/>
    <w:rsid w:val="004717AE"/>
    <w:rsid w:val="00471BA2"/>
    <w:rsid w:val="00473C29"/>
    <w:rsid w:val="00473FA4"/>
    <w:rsid w:val="00474021"/>
    <w:rsid w:val="0048042A"/>
    <w:rsid w:val="0048224D"/>
    <w:rsid w:val="00482330"/>
    <w:rsid w:val="004846E4"/>
    <w:rsid w:val="00484B71"/>
    <w:rsid w:val="004852D8"/>
    <w:rsid w:val="004860C0"/>
    <w:rsid w:val="0048737F"/>
    <w:rsid w:val="004916DC"/>
    <w:rsid w:val="004A19C2"/>
    <w:rsid w:val="004A273C"/>
    <w:rsid w:val="004A76CA"/>
    <w:rsid w:val="004B0B80"/>
    <w:rsid w:val="004B11EF"/>
    <w:rsid w:val="004B135C"/>
    <w:rsid w:val="004B21F5"/>
    <w:rsid w:val="004B3171"/>
    <w:rsid w:val="004B4AE5"/>
    <w:rsid w:val="004C3708"/>
    <w:rsid w:val="004C3A31"/>
    <w:rsid w:val="004C5817"/>
    <w:rsid w:val="004C5945"/>
    <w:rsid w:val="004C65DC"/>
    <w:rsid w:val="004D0EDC"/>
    <w:rsid w:val="004D28E7"/>
    <w:rsid w:val="004D2C82"/>
    <w:rsid w:val="004D2D4C"/>
    <w:rsid w:val="004D39B0"/>
    <w:rsid w:val="004D5A1E"/>
    <w:rsid w:val="004D5EB5"/>
    <w:rsid w:val="004D65A6"/>
    <w:rsid w:val="004E031D"/>
    <w:rsid w:val="004E0DBE"/>
    <w:rsid w:val="004E5213"/>
    <w:rsid w:val="004E5F67"/>
    <w:rsid w:val="004E74FA"/>
    <w:rsid w:val="004F03C0"/>
    <w:rsid w:val="004F1BED"/>
    <w:rsid w:val="004F37A0"/>
    <w:rsid w:val="004F4042"/>
    <w:rsid w:val="004F6DA5"/>
    <w:rsid w:val="004F772C"/>
    <w:rsid w:val="0050454D"/>
    <w:rsid w:val="00504D0A"/>
    <w:rsid w:val="00505763"/>
    <w:rsid w:val="00506B6E"/>
    <w:rsid w:val="0051301B"/>
    <w:rsid w:val="00514566"/>
    <w:rsid w:val="0051547F"/>
    <w:rsid w:val="00517AE8"/>
    <w:rsid w:val="005222AC"/>
    <w:rsid w:val="005223E9"/>
    <w:rsid w:val="005264B9"/>
    <w:rsid w:val="00527A2A"/>
    <w:rsid w:val="00527DD4"/>
    <w:rsid w:val="00531BBB"/>
    <w:rsid w:val="00535343"/>
    <w:rsid w:val="0053620C"/>
    <w:rsid w:val="00537D79"/>
    <w:rsid w:val="0054063C"/>
    <w:rsid w:val="0054193D"/>
    <w:rsid w:val="00541F93"/>
    <w:rsid w:val="005467B9"/>
    <w:rsid w:val="0054704B"/>
    <w:rsid w:val="00550D2F"/>
    <w:rsid w:val="00550FA5"/>
    <w:rsid w:val="0055296A"/>
    <w:rsid w:val="00552B4B"/>
    <w:rsid w:val="00552D92"/>
    <w:rsid w:val="005561AC"/>
    <w:rsid w:val="005607D2"/>
    <w:rsid w:val="00563971"/>
    <w:rsid w:val="005655DB"/>
    <w:rsid w:val="00565EE2"/>
    <w:rsid w:val="005667EC"/>
    <w:rsid w:val="00570489"/>
    <w:rsid w:val="00571EF2"/>
    <w:rsid w:val="005723E9"/>
    <w:rsid w:val="005738D7"/>
    <w:rsid w:val="00573AB9"/>
    <w:rsid w:val="005808EE"/>
    <w:rsid w:val="00581D0B"/>
    <w:rsid w:val="00582E75"/>
    <w:rsid w:val="00583581"/>
    <w:rsid w:val="005907AD"/>
    <w:rsid w:val="00591105"/>
    <w:rsid w:val="00592781"/>
    <w:rsid w:val="00592D33"/>
    <w:rsid w:val="005933CB"/>
    <w:rsid w:val="00594279"/>
    <w:rsid w:val="005950A0"/>
    <w:rsid w:val="005A0DEE"/>
    <w:rsid w:val="005A271E"/>
    <w:rsid w:val="005A5726"/>
    <w:rsid w:val="005A5A58"/>
    <w:rsid w:val="005A6B39"/>
    <w:rsid w:val="005B3541"/>
    <w:rsid w:val="005B4BD9"/>
    <w:rsid w:val="005B719E"/>
    <w:rsid w:val="005C2655"/>
    <w:rsid w:val="005C26D9"/>
    <w:rsid w:val="005C2A95"/>
    <w:rsid w:val="005C3459"/>
    <w:rsid w:val="005C3769"/>
    <w:rsid w:val="005C5409"/>
    <w:rsid w:val="005C6BF6"/>
    <w:rsid w:val="005C710D"/>
    <w:rsid w:val="005D1922"/>
    <w:rsid w:val="005D1A44"/>
    <w:rsid w:val="005D47D0"/>
    <w:rsid w:val="005D4DFF"/>
    <w:rsid w:val="005E0EF8"/>
    <w:rsid w:val="005E36FF"/>
    <w:rsid w:val="005E4072"/>
    <w:rsid w:val="005E4124"/>
    <w:rsid w:val="005E4DB0"/>
    <w:rsid w:val="005E7234"/>
    <w:rsid w:val="005F6DBF"/>
    <w:rsid w:val="005F73F5"/>
    <w:rsid w:val="005F74F4"/>
    <w:rsid w:val="005F776A"/>
    <w:rsid w:val="00600EEC"/>
    <w:rsid w:val="00602BC5"/>
    <w:rsid w:val="00603646"/>
    <w:rsid w:val="00604241"/>
    <w:rsid w:val="006043FE"/>
    <w:rsid w:val="006052B0"/>
    <w:rsid w:val="00605F72"/>
    <w:rsid w:val="00611F06"/>
    <w:rsid w:val="0061273D"/>
    <w:rsid w:val="00613782"/>
    <w:rsid w:val="00614E57"/>
    <w:rsid w:val="0061638A"/>
    <w:rsid w:val="00616583"/>
    <w:rsid w:val="00622A0B"/>
    <w:rsid w:val="00622DA2"/>
    <w:rsid w:val="0062342F"/>
    <w:rsid w:val="0062464E"/>
    <w:rsid w:val="006248B5"/>
    <w:rsid w:val="006256E9"/>
    <w:rsid w:val="0063309F"/>
    <w:rsid w:val="00633BFF"/>
    <w:rsid w:val="0063671E"/>
    <w:rsid w:val="00641B51"/>
    <w:rsid w:val="00642029"/>
    <w:rsid w:val="00646838"/>
    <w:rsid w:val="00653180"/>
    <w:rsid w:val="006550DF"/>
    <w:rsid w:val="00655103"/>
    <w:rsid w:val="00655608"/>
    <w:rsid w:val="00657B51"/>
    <w:rsid w:val="00657B5A"/>
    <w:rsid w:val="00663072"/>
    <w:rsid w:val="00663B92"/>
    <w:rsid w:val="00665B9F"/>
    <w:rsid w:val="0066654F"/>
    <w:rsid w:val="00666578"/>
    <w:rsid w:val="00671C24"/>
    <w:rsid w:val="00675F76"/>
    <w:rsid w:val="00676E7D"/>
    <w:rsid w:val="0067791D"/>
    <w:rsid w:val="00681321"/>
    <w:rsid w:val="00682DF8"/>
    <w:rsid w:val="0069040D"/>
    <w:rsid w:val="0069046B"/>
    <w:rsid w:val="00690E78"/>
    <w:rsid w:val="006917A0"/>
    <w:rsid w:val="00691C8F"/>
    <w:rsid w:val="00692534"/>
    <w:rsid w:val="006926F6"/>
    <w:rsid w:val="00697C56"/>
    <w:rsid w:val="006A1C2A"/>
    <w:rsid w:val="006A3D51"/>
    <w:rsid w:val="006A433A"/>
    <w:rsid w:val="006A59A8"/>
    <w:rsid w:val="006A5CC6"/>
    <w:rsid w:val="006A62AC"/>
    <w:rsid w:val="006A6DEC"/>
    <w:rsid w:val="006A7AEF"/>
    <w:rsid w:val="006B0052"/>
    <w:rsid w:val="006B008E"/>
    <w:rsid w:val="006B016F"/>
    <w:rsid w:val="006B05DF"/>
    <w:rsid w:val="006B0D9D"/>
    <w:rsid w:val="006B1704"/>
    <w:rsid w:val="006B2A66"/>
    <w:rsid w:val="006B2E73"/>
    <w:rsid w:val="006B2ED5"/>
    <w:rsid w:val="006B434B"/>
    <w:rsid w:val="006B5FF3"/>
    <w:rsid w:val="006C4399"/>
    <w:rsid w:val="006C6A85"/>
    <w:rsid w:val="006D1FDB"/>
    <w:rsid w:val="006D23A4"/>
    <w:rsid w:val="006D47FA"/>
    <w:rsid w:val="006D5821"/>
    <w:rsid w:val="006D5E02"/>
    <w:rsid w:val="006D7307"/>
    <w:rsid w:val="006E18CE"/>
    <w:rsid w:val="006E216C"/>
    <w:rsid w:val="006E6AE9"/>
    <w:rsid w:val="006E7F22"/>
    <w:rsid w:val="006F4200"/>
    <w:rsid w:val="006F715A"/>
    <w:rsid w:val="006F7AFB"/>
    <w:rsid w:val="006F7FA2"/>
    <w:rsid w:val="00701073"/>
    <w:rsid w:val="007031D7"/>
    <w:rsid w:val="00703461"/>
    <w:rsid w:val="00704E5B"/>
    <w:rsid w:val="00704F61"/>
    <w:rsid w:val="007056A2"/>
    <w:rsid w:val="00707723"/>
    <w:rsid w:val="0070774F"/>
    <w:rsid w:val="007112F5"/>
    <w:rsid w:val="007115DC"/>
    <w:rsid w:val="007153C3"/>
    <w:rsid w:val="00715EA3"/>
    <w:rsid w:val="00717005"/>
    <w:rsid w:val="007207A6"/>
    <w:rsid w:val="00721B00"/>
    <w:rsid w:val="00724263"/>
    <w:rsid w:val="007249E3"/>
    <w:rsid w:val="00726353"/>
    <w:rsid w:val="00731D43"/>
    <w:rsid w:val="0073230A"/>
    <w:rsid w:val="00732E94"/>
    <w:rsid w:val="00733393"/>
    <w:rsid w:val="00735F73"/>
    <w:rsid w:val="00737417"/>
    <w:rsid w:val="00740FA4"/>
    <w:rsid w:val="0074165D"/>
    <w:rsid w:val="00741789"/>
    <w:rsid w:val="00743A0D"/>
    <w:rsid w:val="00745AAC"/>
    <w:rsid w:val="00746AD3"/>
    <w:rsid w:val="00750515"/>
    <w:rsid w:val="007520E8"/>
    <w:rsid w:val="00752F09"/>
    <w:rsid w:val="007539DC"/>
    <w:rsid w:val="0075611A"/>
    <w:rsid w:val="00756341"/>
    <w:rsid w:val="0075792F"/>
    <w:rsid w:val="00765629"/>
    <w:rsid w:val="007656A9"/>
    <w:rsid w:val="00767935"/>
    <w:rsid w:val="007713D8"/>
    <w:rsid w:val="007733A9"/>
    <w:rsid w:val="00775995"/>
    <w:rsid w:val="00780AA2"/>
    <w:rsid w:val="007817DF"/>
    <w:rsid w:val="00782FC4"/>
    <w:rsid w:val="00784128"/>
    <w:rsid w:val="00784F06"/>
    <w:rsid w:val="00786317"/>
    <w:rsid w:val="00786BAA"/>
    <w:rsid w:val="0079075C"/>
    <w:rsid w:val="007913FA"/>
    <w:rsid w:val="00792110"/>
    <w:rsid w:val="00795E49"/>
    <w:rsid w:val="007977D8"/>
    <w:rsid w:val="00797C98"/>
    <w:rsid w:val="007A0980"/>
    <w:rsid w:val="007A1219"/>
    <w:rsid w:val="007A229D"/>
    <w:rsid w:val="007A2EC7"/>
    <w:rsid w:val="007A3CA2"/>
    <w:rsid w:val="007B0D81"/>
    <w:rsid w:val="007B1377"/>
    <w:rsid w:val="007B3ED8"/>
    <w:rsid w:val="007B4108"/>
    <w:rsid w:val="007B51BF"/>
    <w:rsid w:val="007B5312"/>
    <w:rsid w:val="007C08EA"/>
    <w:rsid w:val="007C2CFC"/>
    <w:rsid w:val="007D04B3"/>
    <w:rsid w:val="007D1C77"/>
    <w:rsid w:val="007D21FC"/>
    <w:rsid w:val="007D2780"/>
    <w:rsid w:val="007D3E05"/>
    <w:rsid w:val="007D4667"/>
    <w:rsid w:val="007D52A5"/>
    <w:rsid w:val="007D7328"/>
    <w:rsid w:val="007D7981"/>
    <w:rsid w:val="007E2330"/>
    <w:rsid w:val="007E3323"/>
    <w:rsid w:val="007E3886"/>
    <w:rsid w:val="007E720B"/>
    <w:rsid w:val="007F4006"/>
    <w:rsid w:val="007F48EC"/>
    <w:rsid w:val="007F4C10"/>
    <w:rsid w:val="007F4F99"/>
    <w:rsid w:val="007F5A11"/>
    <w:rsid w:val="007F69E6"/>
    <w:rsid w:val="007F7F7C"/>
    <w:rsid w:val="008033FB"/>
    <w:rsid w:val="0080405A"/>
    <w:rsid w:val="008055CB"/>
    <w:rsid w:val="00805A5A"/>
    <w:rsid w:val="00807A57"/>
    <w:rsid w:val="0081472A"/>
    <w:rsid w:val="008312D8"/>
    <w:rsid w:val="00832AD1"/>
    <w:rsid w:val="0083501D"/>
    <w:rsid w:val="00835CD6"/>
    <w:rsid w:val="00840A7C"/>
    <w:rsid w:val="008417B5"/>
    <w:rsid w:val="00841D27"/>
    <w:rsid w:val="00842AED"/>
    <w:rsid w:val="00843120"/>
    <w:rsid w:val="00843FC8"/>
    <w:rsid w:val="00844CF8"/>
    <w:rsid w:val="008501D3"/>
    <w:rsid w:val="0085033A"/>
    <w:rsid w:val="00851477"/>
    <w:rsid w:val="00851A0E"/>
    <w:rsid w:val="00855B34"/>
    <w:rsid w:val="00855ECD"/>
    <w:rsid w:val="00856906"/>
    <w:rsid w:val="008572B7"/>
    <w:rsid w:val="00861F58"/>
    <w:rsid w:val="008648AF"/>
    <w:rsid w:val="008656E4"/>
    <w:rsid w:val="00865F20"/>
    <w:rsid w:val="00865FB1"/>
    <w:rsid w:val="00866CE8"/>
    <w:rsid w:val="00871183"/>
    <w:rsid w:val="00875333"/>
    <w:rsid w:val="0087562A"/>
    <w:rsid w:val="00875D6F"/>
    <w:rsid w:val="00877DB6"/>
    <w:rsid w:val="008806AE"/>
    <w:rsid w:val="008811CD"/>
    <w:rsid w:val="0088503F"/>
    <w:rsid w:val="0088558C"/>
    <w:rsid w:val="008859D8"/>
    <w:rsid w:val="00893134"/>
    <w:rsid w:val="00893573"/>
    <w:rsid w:val="00893A41"/>
    <w:rsid w:val="00895455"/>
    <w:rsid w:val="00895DA7"/>
    <w:rsid w:val="008A0980"/>
    <w:rsid w:val="008A1E0C"/>
    <w:rsid w:val="008A3F26"/>
    <w:rsid w:val="008A51F9"/>
    <w:rsid w:val="008A6CC3"/>
    <w:rsid w:val="008B1185"/>
    <w:rsid w:val="008B11B2"/>
    <w:rsid w:val="008B1621"/>
    <w:rsid w:val="008B1867"/>
    <w:rsid w:val="008B321C"/>
    <w:rsid w:val="008B4BDC"/>
    <w:rsid w:val="008B6207"/>
    <w:rsid w:val="008B7049"/>
    <w:rsid w:val="008B736C"/>
    <w:rsid w:val="008B7E01"/>
    <w:rsid w:val="008C44E4"/>
    <w:rsid w:val="008C7E4A"/>
    <w:rsid w:val="008D00B2"/>
    <w:rsid w:val="008D364B"/>
    <w:rsid w:val="008D6522"/>
    <w:rsid w:val="008D6CF7"/>
    <w:rsid w:val="008D70E2"/>
    <w:rsid w:val="008E183E"/>
    <w:rsid w:val="008E2425"/>
    <w:rsid w:val="008E6C00"/>
    <w:rsid w:val="008F197F"/>
    <w:rsid w:val="008F1A5B"/>
    <w:rsid w:val="008F3F71"/>
    <w:rsid w:val="009009AA"/>
    <w:rsid w:val="00900B7E"/>
    <w:rsid w:val="00901CB6"/>
    <w:rsid w:val="00903B61"/>
    <w:rsid w:val="009051C2"/>
    <w:rsid w:val="00906917"/>
    <w:rsid w:val="0090741A"/>
    <w:rsid w:val="00913E96"/>
    <w:rsid w:val="00913FCC"/>
    <w:rsid w:val="009153B8"/>
    <w:rsid w:val="009168CD"/>
    <w:rsid w:val="009172C7"/>
    <w:rsid w:val="00917DD1"/>
    <w:rsid w:val="009209DD"/>
    <w:rsid w:val="00922601"/>
    <w:rsid w:val="00923622"/>
    <w:rsid w:val="00927AC7"/>
    <w:rsid w:val="009303B3"/>
    <w:rsid w:val="009307F0"/>
    <w:rsid w:val="00930ADD"/>
    <w:rsid w:val="00931E67"/>
    <w:rsid w:val="00934366"/>
    <w:rsid w:val="0093483D"/>
    <w:rsid w:val="00935E3D"/>
    <w:rsid w:val="009409B1"/>
    <w:rsid w:val="009442C6"/>
    <w:rsid w:val="009458EB"/>
    <w:rsid w:val="00946FDE"/>
    <w:rsid w:val="00950710"/>
    <w:rsid w:val="00950926"/>
    <w:rsid w:val="00951D4A"/>
    <w:rsid w:val="0095332B"/>
    <w:rsid w:val="00953648"/>
    <w:rsid w:val="00953ACE"/>
    <w:rsid w:val="009547CA"/>
    <w:rsid w:val="00957F79"/>
    <w:rsid w:val="00961622"/>
    <w:rsid w:val="00965FC9"/>
    <w:rsid w:val="0096634C"/>
    <w:rsid w:val="009669D0"/>
    <w:rsid w:val="00967BF4"/>
    <w:rsid w:val="009702C0"/>
    <w:rsid w:val="00970BB0"/>
    <w:rsid w:val="00971EDD"/>
    <w:rsid w:val="00973236"/>
    <w:rsid w:val="00976C25"/>
    <w:rsid w:val="00976DA1"/>
    <w:rsid w:val="009774AB"/>
    <w:rsid w:val="00980421"/>
    <w:rsid w:val="009806D4"/>
    <w:rsid w:val="00980C3B"/>
    <w:rsid w:val="00981385"/>
    <w:rsid w:val="009815A3"/>
    <w:rsid w:val="00984C31"/>
    <w:rsid w:val="009914F6"/>
    <w:rsid w:val="00995E13"/>
    <w:rsid w:val="00996701"/>
    <w:rsid w:val="00997158"/>
    <w:rsid w:val="009A43BF"/>
    <w:rsid w:val="009A6F0D"/>
    <w:rsid w:val="009B0FA7"/>
    <w:rsid w:val="009B18C1"/>
    <w:rsid w:val="009B22C3"/>
    <w:rsid w:val="009B6C52"/>
    <w:rsid w:val="009C0761"/>
    <w:rsid w:val="009C1E0F"/>
    <w:rsid w:val="009C2349"/>
    <w:rsid w:val="009C5ECD"/>
    <w:rsid w:val="009C7CC5"/>
    <w:rsid w:val="009C7DE1"/>
    <w:rsid w:val="009D02F2"/>
    <w:rsid w:val="009D340D"/>
    <w:rsid w:val="009D6D80"/>
    <w:rsid w:val="009E2C3F"/>
    <w:rsid w:val="009E5418"/>
    <w:rsid w:val="009E7804"/>
    <w:rsid w:val="009E78C9"/>
    <w:rsid w:val="009F01B5"/>
    <w:rsid w:val="009F1BA6"/>
    <w:rsid w:val="009F3B88"/>
    <w:rsid w:val="009F5DB2"/>
    <w:rsid w:val="00A042DC"/>
    <w:rsid w:val="00A1120B"/>
    <w:rsid w:val="00A113EE"/>
    <w:rsid w:val="00A11649"/>
    <w:rsid w:val="00A11655"/>
    <w:rsid w:val="00A12BE8"/>
    <w:rsid w:val="00A135D0"/>
    <w:rsid w:val="00A138AC"/>
    <w:rsid w:val="00A14777"/>
    <w:rsid w:val="00A15F80"/>
    <w:rsid w:val="00A16D63"/>
    <w:rsid w:val="00A22FD1"/>
    <w:rsid w:val="00A258A3"/>
    <w:rsid w:val="00A25DDD"/>
    <w:rsid w:val="00A26FD9"/>
    <w:rsid w:val="00A315C5"/>
    <w:rsid w:val="00A329BD"/>
    <w:rsid w:val="00A35385"/>
    <w:rsid w:val="00A3625D"/>
    <w:rsid w:val="00A41762"/>
    <w:rsid w:val="00A427EA"/>
    <w:rsid w:val="00A4389D"/>
    <w:rsid w:val="00A43BA4"/>
    <w:rsid w:val="00A45493"/>
    <w:rsid w:val="00A455C4"/>
    <w:rsid w:val="00A45CC4"/>
    <w:rsid w:val="00A47152"/>
    <w:rsid w:val="00A50E7A"/>
    <w:rsid w:val="00A51BFF"/>
    <w:rsid w:val="00A52A3D"/>
    <w:rsid w:val="00A55BAE"/>
    <w:rsid w:val="00A55D1C"/>
    <w:rsid w:val="00A62977"/>
    <w:rsid w:val="00A62DF4"/>
    <w:rsid w:val="00A67F60"/>
    <w:rsid w:val="00A70895"/>
    <w:rsid w:val="00A70B68"/>
    <w:rsid w:val="00A744FC"/>
    <w:rsid w:val="00A8422C"/>
    <w:rsid w:val="00A85959"/>
    <w:rsid w:val="00A87631"/>
    <w:rsid w:val="00A9088F"/>
    <w:rsid w:val="00A908DA"/>
    <w:rsid w:val="00A94979"/>
    <w:rsid w:val="00AA0314"/>
    <w:rsid w:val="00AA1836"/>
    <w:rsid w:val="00AA525B"/>
    <w:rsid w:val="00AA5DE6"/>
    <w:rsid w:val="00AA7B3E"/>
    <w:rsid w:val="00AB14BA"/>
    <w:rsid w:val="00AB1B56"/>
    <w:rsid w:val="00AB5946"/>
    <w:rsid w:val="00AB6800"/>
    <w:rsid w:val="00AB7659"/>
    <w:rsid w:val="00AB77B2"/>
    <w:rsid w:val="00AC1617"/>
    <w:rsid w:val="00AC4E5A"/>
    <w:rsid w:val="00AC5ACC"/>
    <w:rsid w:val="00AC5F6C"/>
    <w:rsid w:val="00AC6067"/>
    <w:rsid w:val="00AC7F1D"/>
    <w:rsid w:val="00AD1CBE"/>
    <w:rsid w:val="00AE1ACA"/>
    <w:rsid w:val="00AE53FD"/>
    <w:rsid w:val="00AE630B"/>
    <w:rsid w:val="00AE7152"/>
    <w:rsid w:val="00AE734D"/>
    <w:rsid w:val="00AE7E17"/>
    <w:rsid w:val="00AF041D"/>
    <w:rsid w:val="00AF1476"/>
    <w:rsid w:val="00AF1655"/>
    <w:rsid w:val="00AF2E62"/>
    <w:rsid w:val="00AF3844"/>
    <w:rsid w:val="00AF544A"/>
    <w:rsid w:val="00AF5F8F"/>
    <w:rsid w:val="00AF71AB"/>
    <w:rsid w:val="00B010DD"/>
    <w:rsid w:val="00B022B0"/>
    <w:rsid w:val="00B02568"/>
    <w:rsid w:val="00B0328C"/>
    <w:rsid w:val="00B04962"/>
    <w:rsid w:val="00B07500"/>
    <w:rsid w:val="00B1070D"/>
    <w:rsid w:val="00B11B8B"/>
    <w:rsid w:val="00B11EC2"/>
    <w:rsid w:val="00B1480F"/>
    <w:rsid w:val="00B14C28"/>
    <w:rsid w:val="00B163FD"/>
    <w:rsid w:val="00B16A04"/>
    <w:rsid w:val="00B21C5A"/>
    <w:rsid w:val="00B23628"/>
    <w:rsid w:val="00B249E1"/>
    <w:rsid w:val="00B25ECA"/>
    <w:rsid w:val="00B26D95"/>
    <w:rsid w:val="00B32538"/>
    <w:rsid w:val="00B33C02"/>
    <w:rsid w:val="00B33E4D"/>
    <w:rsid w:val="00B3559F"/>
    <w:rsid w:val="00B357E3"/>
    <w:rsid w:val="00B365CD"/>
    <w:rsid w:val="00B36C09"/>
    <w:rsid w:val="00B41A9E"/>
    <w:rsid w:val="00B426DB"/>
    <w:rsid w:val="00B460E2"/>
    <w:rsid w:val="00B46726"/>
    <w:rsid w:val="00B505F9"/>
    <w:rsid w:val="00B5115B"/>
    <w:rsid w:val="00B5166B"/>
    <w:rsid w:val="00B5252C"/>
    <w:rsid w:val="00B5323F"/>
    <w:rsid w:val="00B543D6"/>
    <w:rsid w:val="00B5587B"/>
    <w:rsid w:val="00B55F89"/>
    <w:rsid w:val="00B571D0"/>
    <w:rsid w:val="00B576C9"/>
    <w:rsid w:val="00B578F3"/>
    <w:rsid w:val="00B64A5A"/>
    <w:rsid w:val="00B71B32"/>
    <w:rsid w:val="00B73CED"/>
    <w:rsid w:val="00B73FE2"/>
    <w:rsid w:val="00B74275"/>
    <w:rsid w:val="00B76716"/>
    <w:rsid w:val="00B82340"/>
    <w:rsid w:val="00B85C34"/>
    <w:rsid w:val="00B85F1F"/>
    <w:rsid w:val="00B91E16"/>
    <w:rsid w:val="00B92110"/>
    <w:rsid w:val="00BA0065"/>
    <w:rsid w:val="00BA0728"/>
    <w:rsid w:val="00BA17C1"/>
    <w:rsid w:val="00BA2559"/>
    <w:rsid w:val="00BA5BB2"/>
    <w:rsid w:val="00BA719F"/>
    <w:rsid w:val="00BB1840"/>
    <w:rsid w:val="00BC22D6"/>
    <w:rsid w:val="00BC4C1B"/>
    <w:rsid w:val="00BC78D8"/>
    <w:rsid w:val="00BD060A"/>
    <w:rsid w:val="00BD143F"/>
    <w:rsid w:val="00BD190B"/>
    <w:rsid w:val="00BD21FF"/>
    <w:rsid w:val="00BD2264"/>
    <w:rsid w:val="00BD28DC"/>
    <w:rsid w:val="00BD5D6E"/>
    <w:rsid w:val="00BD6407"/>
    <w:rsid w:val="00BD69A7"/>
    <w:rsid w:val="00BD6D84"/>
    <w:rsid w:val="00BD7900"/>
    <w:rsid w:val="00BE060A"/>
    <w:rsid w:val="00BE1846"/>
    <w:rsid w:val="00BE26FD"/>
    <w:rsid w:val="00BE326F"/>
    <w:rsid w:val="00BE6066"/>
    <w:rsid w:val="00BE69DB"/>
    <w:rsid w:val="00BF0FCD"/>
    <w:rsid w:val="00BF3435"/>
    <w:rsid w:val="00BF6260"/>
    <w:rsid w:val="00BF642A"/>
    <w:rsid w:val="00C01AD4"/>
    <w:rsid w:val="00C02B04"/>
    <w:rsid w:val="00C03928"/>
    <w:rsid w:val="00C07AD2"/>
    <w:rsid w:val="00C07C6F"/>
    <w:rsid w:val="00C143CC"/>
    <w:rsid w:val="00C164AD"/>
    <w:rsid w:val="00C16660"/>
    <w:rsid w:val="00C16CC1"/>
    <w:rsid w:val="00C20B7F"/>
    <w:rsid w:val="00C22F62"/>
    <w:rsid w:val="00C23BBF"/>
    <w:rsid w:val="00C276D5"/>
    <w:rsid w:val="00C322FF"/>
    <w:rsid w:val="00C32BFF"/>
    <w:rsid w:val="00C32DAE"/>
    <w:rsid w:val="00C350A1"/>
    <w:rsid w:val="00C35714"/>
    <w:rsid w:val="00C418CB"/>
    <w:rsid w:val="00C41AB7"/>
    <w:rsid w:val="00C42108"/>
    <w:rsid w:val="00C44356"/>
    <w:rsid w:val="00C45FE6"/>
    <w:rsid w:val="00C51D2D"/>
    <w:rsid w:val="00C56553"/>
    <w:rsid w:val="00C57674"/>
    <w:rsid w:val="00C6026E"/>
    <w:rsid w:val="00C607A4"/>
    <w:rsid w:val="00C61116"/>
    <w:rsid w:val="00C63346"/>
    <w:rsid w:val="00C64129"/>
    <w:rsid w:val="00C727C2"/>
    <w:rsid w:val="00C761B7"/>
    <w:rsid w:val="00C77A5A"/>
    <w:rsid w:val="00C811BF"/>
    <w:rsid w:val="00C8261E"/>
    <w:rsid w:val="00C829C7"/>
    <w:rsid w:val="00C83328"/>
    <w:rsid w:val="00C86979"/>
    <w:rsid w:val="00C903AD"/>
    <w:rsid w:val="00C919F4"/>
    <w:rsid w:val="00C93966"/>
    <w:rsid w:val="00C93B02"/>
    <w:rsid w:val="00C960AF"/>
    <w:rsid w:val="00C96B95"/>
    <w:rsid w:val="00C96E9E"/>
    <w:rsid w:val="00CA1058"/>
    <w:rsid w:val="00CA71E0"/>
    <w:rsid w:val="00CB014C"/>
    <w:rsid w:val="00CB1196"/>
    <w:rsid w:val="00CB5851"/>
    <w:rsid w:val="00CC0998"/>
    <w:rsid w:val="00CC0D8D"/>
    <w:rsid w:val="00CC116A"/>
    <w:rsid w:val="00CC25FB"/>
    <w:rsid w:val="00CC2726"/>
    <w:rsid w:val="00CC720A"/>
    <w:rsid w:val="00CC728E"/>
    <w:rsid w:val="00CC7CFB"/>
    <w:rsid w:val="00CD1BA1"/>
    <w:rsid w:val="00CE02B4"/>
    <w:rsid w:val="00CE172C"/>
    <w:rsid w:val="00CE6172"/>
    <w:rsid w:val="00CF2B29"/>
    <w:rsid w:val="00CF45F5"/>
    <w:rsid w:val="00CF488B"/>
    <w:rsid w:val="00CF4BF0"/>
    <w:rsid w:val="00CF77FA"/>
    <w:rsid w:val="00CF7AFB"/>
    <w:rsid w:val="00D00669"/>
    <w:rsid w:val="00D01B6D"/>
    <w:rsid w:val="00D02DA1"/>
    <w:rsid w:val="00D0378A"/>
    <w:rsid w:val="00D07093"/>
    <w:rsid w:val="00D1139B"/>
    <w:rsid w:val="00D13ACC"/>
    <w:rsid w:val="00D14EDC"/>
    <w:rsid w:val="00D20C19"/>
    <w:rsid w:val="00D248F2"/>
    <w:rsid w:val="00D24CD2"/>
    <w:rsid w:val="00D25C3A"/>
    <w:rsid w:val="00D265F6"/>
    <w:rsid w:val="00D315DA"/>
    <w:rsid w:val="00D329F7"/>
    <w:rsid w:val="00D40C93"/>
    <w:rsid w:val="00D41353"/>
    <w:rsid w:val="00D41E8C"/>
    <w:rsid w:val="00D42021"/>
    <w:rsid w:val="00D42361"/>
    <w:rsid w:val="00D42B38"/>
    <w:rsid w:val="00D4398D"/>
    <w:rsid w:val="00D43A90"/>
    <w:rsid w:val="00D44119"/>
    <w:rsid w:val="00D4415D"/>
    <w:rsid w:val="00D443FA"/>
    <w:rsid w:val="00D45C34"/>
    <w:rsid w:val="00D4789A"/>
    <w:rsid w:val="00D53E25"/>
    <w:rsid w:val="00D551B6"/>
    <w:rsid w:val="00D609D4"/>
    <w:rsid w:val="00D619F5"/>
    <w:rsid w:val="00D61B43"/>
    <w:rsid w:val="00D62BD0"/>
    <w:rsid w:val="00D6354E"/>
    <w:rsid w:val="00D65172"/>
    <w:rsid w:val="00D6747C"/>
    <w:rsid w:val="00D67B90"/>
    <w:rsid w:val="00D733AF"/>
    <w:rsid w:val="00D73AA0"/>
    <w:rsid w:val="00D75729"/>
    <w:rsid w:val="00D8133B"/>
    <w:rsid w:val="00D867DC"/>
    <w:rsid w:val="00D867F2"/>
    <w:rsid w:val="00D916C8"/>
    <w:rsid w:val="00D91952"/>
    <w:rsid w:val="00D9636F"/>
    <w:rsid w:val="00D97B22"/>
    <w:rsid w:val="00DA08D4"/>
    <w:rsid w:val="00DA2D38"/>
    <w:rsid w:val="00DA5FF6"/>
    <w:rsid w:val="00DB00A1"/>
    <w:rsid w:val="00DB06E2"/>
    <w:rsid w:val="00DB1402"/>
    <w:rsid w:val="00DB1F04"/>
    <w:rsid w:val="00DB65EE"/>
    <w:rsid w:val="00DB6E48"/>
    <w:rsid w:val="00DC23DD"/>
    <w:rsid w:val="00DC5A21"/>
    <w:rsid w:val="00DC5AE0"/>
    <w:rsid w:val="00DC5F6D"/>
    <w:rsid w:val="00DC6D35"/>
    <w:rsid w:val="00DD0AF9"/>
    <w:rsid w:val="00DD0EAE"/>
    <w:rsid w:val="00DD24F9"/>
    <w:rsid w:val="00DD5439"/>
    <w:rsid w:val="00DE2533"/>
    <w:rsid w:val="00DE4537"/>
    <w:rsid w:val="00DE6D31"/>
    <w:rsid w:val="00DF29A2"/>
    <w:rsid w:val="00DF348B"/>
    <w:rsid w:val="00DF42E9"/>
    <w:rsid w:val="00DF63DF"/>
    <w:rsid w:val="00DF7B0A"/>
    <w:rsid w:val="00E01C43"/>
    <w:rsid w:val="00E05BDF"/>
    <w:rsid w:val="00E10D95"/>
    <w:rsid w:val="00E112D6"/>
    <w:rsid w:val="00E1271A"/>
    <w:rsid w:val="00E12792"/>
    <w:rsid w:val="00E1462A"/>
    <w:rsid w:val="00E15898"/>
    <w:rsid w:val="00E16DBA"/>
    <w:rsid w:val="00E17BC0"/>
    <w:rsid w:val="00E215BD"/>
    <w:rsid w:val="00E23666"/>
    <w:rsid w:val="00E25AE3"/>
    <w:rsid w:val="00E261BD"/>
    <w:rsid w:val="00E26827"/>
    <w:rsid w:val="00E26867"/>
    <w:rsid w:val="00E26D17"/>
    <w:rsid w:val="00E275D6"/>
    <w:rsid w:val="00E27CC9"/>
    <w:rsid w:val="00E306AC"/>
    <w:rsid w:val="00E31645"/>
    <w:rsid w:val="00E317D7"/>
    <w:rsid w:val="00E32E45"/>
    <w:rsid w:val="00E34EBB"/>
    <w:rsid w:val="00E3516D"/>
    <w:rsid w:val="00E40587"/>
    <w:rsid w:val="00E41050"/>
    <w:rsid w:val="00E4171B"/>
    <w:rsid w:val="00E445C7"/>
    <w:rsid w:val="00E51A92"/>
    <w:rsid w:val="00E532A5"/>
    <w:rsid w:val="00E537EB"/>
    <w:rsid w:val="00E55A19"/>
    <w:rsid w:val="00E57B16"/>
    <w:rsid w:val="00E57B6B"/>
    <w:rsid w:val="00E62454"/>
    <w:rsid w:val="00E62571"/>
    <w:rsid w:val="00E63779"/>
    <w:rsid w:val="00E63C70"/>
    <w:rsid w:val="00E641DE"/>
    <w:rsid w:val="00E70438"/>
    <w:rsid w:val="00E72013"/>
    <w:rsid w:val="00E76259"/>
    <w:rsid w:val="00E816D1"/>
    <w:rsid w:val="00E84400"/>
    <w:rsid w:val="00E8556E"/>
    <w:rsid w:val="00E85933"/>
    <w:rsid w:val="00E87777"/>
    <w:rsid w:val="00E91DD6"/>
    <w:rsid w:val="00E9442E"/>
    <w:rsid w:val="00E96704"/>
    <w:rsid w:val="00E9740B"/>
    <w:rsid w:val="00E97661"/>
    <w:rsid w:val="00EA4249"/>
    <w:rsid w:val="00EA5417"/>
    <w:rsid w:val="00EA6357"/>
    <w:rsid w:val="00EB1669"/>
    <w:rsid w:val="00EB2266"/>
    <w:rsid w:val="00EB2DD4"/>
    <w:rsid w:val="00EB3163"/>
    <w:rsid w:val="00EB3818"/>
    <w:rsid w:val="00EB3AD8"/>
    <w:rsid w:val="00EB3F21"/>
    <w:rsid w:val="00EB56C9"/>
    <w:rsid w:val="00EB790C"/>
    <w:rsid w:val="00EB7C72"/>
    <w:rsid w:val="00EC1FDB"/>
    <w:rsid w:val="00EC6E85"/>
    <w:rsid w:val="00EC7705"/>
    <w:rsid w:val="00EC7AC6"/>
    <w:rsid w:val="00ED328A"/>
    <w:rsid w:val="00ED3722"/>
    <w:rsid w:val="00ED44A4"/>
    <w:rsid w:val="00ED46FC"/>
    <w:rsid w:val="00ED710C"/>
    <w:rsid w:val="00ED72B4"/>
    <w:rsid w:val="00EE1227"/>
    <w:rsid w:val="00EE33D6"/>
    <w:rsid w:val="00EE36D3"/>
    <w:rsid w:val="00EE4048"/>
    <w:rsid w:val="00EE48DF"/>
    <w:rsid w:val="00EE4E13"/>
    <w:rsid w:val="00EE7A15"/>
    <w:rsid w:val="00EE7EC2"/>
    <w:rsid w:val="00EF4429"/>
    <w:rsid w:val="00F02E1C"/>
    <w:rsid w:val="00F03C8F"/>
    <w:rsid w:val="00F0659F"/>
    <w:rsid w:val="00F077CA"/>
    <w:rsid w:val="00F079B4"/>
    <w:rsid w:val="00F104D7"/>
    <w:rsid w:val="00F10FD1"/>
    <w:rsid w:val="00F11931"/>
    <w:rsid w:val="00F11DA9"/>
    <w:rsid w:val="00F123E9"/>
    <w:rsid w:val="00F13BB0"/>
    <w:rsid w:val="00F17550"/>
    <w:rsid w:val="00F20C2C"/>
    <w:rsid w:val="00F25753"/>
    <w:rsid w:val="00F264F0"/>
    <w:rsid w:val="00F271CF"/>
    <w:rsid w:val="00F313A1"/>
    <w:rsid w:val="00F32794"/>
    <w:rsid w:val="00F33840"/>
    <w:rsid w:val="00F415EA"/>
    <w:rsid w:val="00F47045"/>
    <w:rsid w:val="00F476D6"/>
    <w:rsid w:val="00F479DA"/>
    <w:rsid w:val="00F50FD2"/>
    <w:rsid w:val="00F51753"/>
    <w:rsid w:val="00F52CBB"/>
    <w:rsid w:val="00F60A15"/>
    <w:rsid w:val="00F6138F"/>
    <w:rsid w:val="00F6323B"/>
    <w:rsid w:val="00F6324B"/>
    <w:rsid w:val="00F63772"/>
    <w:rsid w:val="00F66741"/>
    <w:rsid w:val="00F677F4"/>
    <w:rsid w:val="00F7013A"/>
    <w:rsid w:val="00F701D5"/>
    <w:rsid w:val="00F704B0"/>
    <w:rsid w:val="00F70ABC"/>
    <w:rsid w:val="00F72ADA"/>
    <w:rsid w:val="00F72C83"/>
    <w:rsid w:val="00F73114"/>
    <w:rsid w:val="00F73C2B"/>
    <w:rsid w:val="00F744C2"/>
    <w:rsid w:val="00F76A20"/>
    <w:rsid w:val="00F774C0"/>
    <w:rsid w:val="00F81131"/>
    <w:rsid w:val="00F8116E"/>
    <w:rsid w:val="00F8182B"/>
    <w:rsid w:val="00F835CA"/>
    <w:rsid w:val="00F839EF"/>
    <w:rsid w:val="00F83B34"/>
    <w:rsid w:val="00F8598B"/>
    <w:rsid w:val="00F86E42"/>
    <w:rsid w:val="00F90C9F"/>
    <w:rsid w:val="00F91EC4"/>
    <w:rsid w:val="00F93403"/>
    <w:rsid w:val="00F937CE"/>
    <w:rsid w:val="00F97014"/>
    <w:rsid w:val="00F97CDE"/>
    <w:rsid w:val="00FA02BF"/>
    <w:rsid w:val="00FA1D03"/>
    <w:rsid w:val="00FA42C5"/>
    <w:rsid w:val="00FA5225"/>
    <w:rsid w:val="00FA58FD"/>
    <w:rsid w:val="00FA5ACD"/>
    <w:rsid w:val="00FB4425"/>
    <w:rsid w:val="00FB458A"/>
    <w:rsid w:val="00FC260E"/>
    <w:rsid w:val="00FC315F"/>
    <w:rsid w:val="00FC450B"/>
    <w:rsid w:val="00FC4AEC"/>
    <w:rsid w:val="00FC558F"/>
    <w:rsid w:val="00FC784D"/>
    <w:rsid w:val="00FC7CCF"/>
    <w:rsid w:val="00FD24D3"/>
    <w:rsid w:val="00FD3C60"/>
    <w:rsid w:val="00FD5772"/>
    <w:rsid w:val="00FD5F46"/>
    <w:rsid w:val="00FD6397"/>
    <w:rsid w:val="00FD6984"/>
    <w:rsid w:val="00FD6A9F"/>
    <w:rsid w:val="00FD6D57"/>
    <w:rsid w:val="00FD7D02"/>
    <w:rsid w:val="00FE15D5"/>
    <w:rsid w:val="00FE4A74"/>
    <w:rsid w:val="00FE6282"/>
    <w:rsid w:val="00FF5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0BF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D5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B5"/>
    <w:pPr>
      <w:ind w:left="720"/>
      <w:contextualSpacing/>
    </w:pPr>
  </w:style>
  <w:style w:type="paragraph" w:styleId="Header">
    <w:name w:val="header"/>
    <w:basedOn w:val="Normal"/>
    <w:link w:val="HeaderChar"/>
    <w:uiPriority w:val="99"/>
    <w:unhideWhenUsed/>
    <w:rsid w:val="00093089"/>
    <w:pPr>
      <w:tabs>
        <w:tab w:val="center" w:pos="4680"/>
        <w:tab w:val="right" w:pos="9360"/>
      </w:tabs>
      <w:spacing w:line="240" w:lineRule="auto"/>
    </w:pPr>
  </w:style>
  <w:style w:type="character" w:customStyle="1" w:styleId="HeaderChar">
    <w:name w:val="Header Char"/>
    <w:basedOn w:val="DefaultParagraphFont"/>
    <w:link w:val="Header"/>
    <w:uiPriority w:val="99"/>
    <w:rsid w:val="00093089"/>
  </w:style>
  <w:style w:type="paragraph" w:styleId="Footer">
    <w:name w:val="footer"/>
    <w:basedOn w:val="Normal"/>
    <w:link w:val="FooterChar"/>
    <w:uiPriority w:val="99"/>
    <w:semiHidden/>
    <w:unhideWhenUsed/>
    <w:rsid w:val="00093089"/>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093089"/>
  </w:style>
  <w:style w:type="table" w:styleId="TableGrid">
    <w:name w:val="Table Grid"/>
    <w:basedOn w:val="TableNormal"/>
    <w:uiPriority w:val="59"/>
    <w:rsid w:val="00A329B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724263"/>
    <w:rPr>
      <w:sz w:val="16"/>
      <w:szCs w:val="16"/>
    </w:rPr>
  </w:style>
  <w:style w:type="paragraph" w:styleId="CommentText">
    <w:name w:val="annotation text"/>
    <w:basedOn w:val="Normal"/>
    <w:link w:val="CommentTextChar"/>
    <w:uiPriority w:val="99"/>
    <w:semiHidden/>
    <w:unhideWhenUsed/>
    <w:rsid w:val="00724263"/>
    <w:pPr>
      <w:spacing w:line="240" w:lineRule="auto"/>
    </w:pPr>
    <w:rPr>
      <w:sz w:val="20"/>
      <w:szCs w:val="20"/>
    </w:rPr>
  </w:style>
  <w:style w:type="character" w:customStyle="1" w:styleId="CommentTextChar">
    <w:name w:val="Comment Text Char"/>
    <w:basedOn w:val="DefaultParagraphFont"/>
    <w:link w:val="CommentText"/>
    <w:uiPriority w:val="99"/>
    <w:semiHidden/>
    <w:rsid w:val="00724263"/>
    <w:rPr>
      <w:sz w:val="20"/>
      <w:szCs w:val="20"/>
    </w:rPr>
  </w:style>
  <w:style w:type="paragraph" w:styleId="CommentSubject">
    <w:name w:val="annotation subject"/>
    <w:basedOn w:val="CommentText"/>
    <w:next w:val="CommentText"/>
    <w:link w:val="CommentSubjectChar"/>
    <w:uiPriority w:val="99"/>
    <w:semiHidden/>
    <w:unhideWhenUsed/>
    <w:rsid w:val="00724263"/>
    <w:rPr>
      <w:b/>
      <w:bCs/>
    </w:rPr>
  </w:style>
  <w:style w:type="character" w:customStyle="1" w:styleId="CommentSubjectChar">
    <w:name w:val="Comment Subject Char"/>
    <w:basedOn w:val="CommentTextChar"/>
    <w:link w:val="CommentSubject"/>
    <w:uiPriority w:val="99"/>
    <w:semiHidden/>
    <w:rsid w:val="00724263"/>
    <w:rPr>
      <w:b/>
      <w:bCs/>
      <w:sz w:val="20"/>
      <w:szCs w:val="20"/>
    </w:rPr>
  </w:style>
  <w:style w:type="paragraph" w:styleId="BalloonText">
    <w:name w:val="Balloon Text"/>
    <w:basedOn w:val="Normal"/>
    <w:link w:val="BalloonTextChar"/>
    <w:uiPriority w:val="99"/>
    <w:semiHidden/>
    <w:unhideWhenUsed/>
    <w:rsid w:val="007242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263"/>
    <w:rPr>
      <w:rFonts w:ascii="Segoe UI" w:hAnsi="Segoe UI" w:cs="Segoe UI"/>
      <w:sz w:val="18"/>
      <w:szCs w:val="18"/>
    </w:rPr>
  </w:style>
  <w:style w:type="character" w:styleId="Hyperlink">
    <w:name w:val="Hyperlink"/>
    <w:basedOn w:val="DefaultParagraphFont"/>
    <w:uiPriority w:val="99"/>
    <w:unhideWhenUsed/>
    <w:rsid w:val="001453B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theme" Target="theme/theme1.xml"/><Relationship Id="rId10" Type="http://schemas.openxmlformats.org/officeDocument/2006/relationships/hyperlink" Target="https://www.congress.gov/congressional-record"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AD8BB-D421-5D4F-BD2C-512FA432C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20</Pages>
  <Words>4152</Words>
  <Characters>23669</Characters>
  <Application>Microsoft Macintosh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dc:creator>
  <cp:lastModifiedBy>Erin M. Buchanan</cp:lastModifiedBy>
  <cp:revision>23</cp:revision>
  <dcterms:created xsi:type="dcterms:W3CDTF">2017-08-30T23:22:00Z</dcterms:created>
  <dcterms:modified xsi:type="dcterms:W3CDTF">2017-09-21T14:11:00Z</dcterms:modified>
</cp:coreProperties>
</file>