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Chairman.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focus on some of the comments you have made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aspects of this as they pertain to Syria’s neighbors.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pointed out that Turkey has changed its position and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harbors a segment of the Syrian opposition within its borders.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Lebanese essentially would still appear to be very worried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unrest spilling across the Syrian border and upsetting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domestic situation. This is particularly true with regard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Christians in Lebanon and others fearing the coming of a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Sunni regime if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are not able to hang on.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that, there is the problem that is faced by Israel,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as Israelis have themselves expressed, that Syria was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friend, but it was a so-called stable antagonist that was not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Israel. However, some in Israel now worry that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Assad or others might decide to attack in the hope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gaining some adherence from other anti-Israeli elements in the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Middle East, thus creating an unstable situation on yet another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Israel given the Arab Spring difficulties with Egypt and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the midst of all of this, the United States understandably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concentrating upon the human rights dilemmas of individuals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their rights in the country. It has been noted, at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some of our staff members, in the largest cities there have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few demonstrations, but out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hustings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have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more. And this leads once again to feelings about sectarian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particularly between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Sunnis.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try to formulate policy, surely all of these things are on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and the Secretary’s. On the one hand, you have each of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wanting you to do something to save people who are in the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indicating they would like to have better civil rights, and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sympathize with that. On the other hand, it could very well be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demand the departure of Assad or the departure of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Assad plus the people he is with, we tip the scales in this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/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 business, and this leads to unintended consequences. After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was a Syrian problem. But given the Arab Spring and the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volatile situation in the Middle East, it has all sorts of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implications.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under those circumstances, what is a policy that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adopt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tries to bring a degree of stability to the situation even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promote human rights and continue to espouse those things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are most important? Or are we going to be a tipping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demanding action by the U.N. or demanding action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of various sorts? Although the economy of Syria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not be drying up, it has been deprived of much of its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revenue. So we have already had an effect. How much of an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we want to have? And if we were successful and Assad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what would we be left with at that point? What happens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surrounding territories?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Hypothetically let us say he does go tomorrow.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steps in and then what do they do?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As this continues to play out, I am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taking into account the potential for chaos and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 of people who have formulated what the new plans are or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at this point.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would like to ask about the food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Syria. The reason I ask is that over in the Agriculture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from time to time we get reports about the changes in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imports in Egypt, Tunisia, and Libya after the Arab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Spring. Without going into all the details, the facts are that the expense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importing grains that were a part of the diets of those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increased significantly. Beyond that, the capacity to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exchange moneys, given problems in the banking system,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created a situation in which in these countries there may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much as a 40-percent decline in the amount of food being consumed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 That is a very large change. And some have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the past that leaders in these countries retain their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so-called food subsidies, in other words, if people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unhappy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hustings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somehow they were pacified by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out that they use for food.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not clear about is how this applies to Syria, because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really have not heard anything on any nutrition and food supply</w:t>
      </w:r>
    </w:p>
    <w:p w:rsidR="00BE3081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resulting from the sanctions or the loss of export money or</w:t>
      </w:r>
    </w:p>
    <w:p w:rsidR="00BE3081" w:rsidRPr="00C01F6C" w:rsidRDefault="00BE3081" w:rsidP="00BE30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Has there been an impact there? </w:t>
      </w:r>
      <w:r>
        <w:rPr>
          <w:rFonts w:ascii="Helvetica" w:hAnsi="Helvetica" w:cs="Helvetica"/>
          <w:color w:val="FFFFFF"/>
          <w:sz w:val="13"/>
          <w:szCs w:val="13"/>
        </w:rPr>
        <w:t>BETTY</w:t>
      </w:r>
    </w:p>
    <w:p w:rsidR="007C2CDD" w:rsidRDefault="007C2CDD"/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FE7" w:rsidRDefault="00484FE7" w:rsidP="00484FE7">
      <w:pPr>
        <w:spacing w:after="0" w:line="240" w:lineRule="auto"/>
      </w:pPr>
      <w:r>
        <w:separator/>
      </w:r>
    </w:p>
  </w:endnote>
  <w:endnote w:type="continuationSeparator" w:id="0">
    <w:p w:rsidR="00484FE7" w:rsidRDefault="00484FE7" w:rsidP="0048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FE7" w:rsidRDefault="00484FE7" w:rsidP="00484FE7">
      <w:pPr>
        <w:spacing w:after="0" w:line="240" w:lineRule="auto"/>
      </w:pPr>
      <w:r>
        <w:separator/>
      </w:r>
    </w:p>
  </w:footnote>
  <w:footnote w:type="continuationSeparator" w:id="0">
    <w:p w:rsidR="00484FE7" w:rsidRDefault="00484FE7" w:rsidP="0048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FE7" w:rsidRDefault="00484FE7">
    <w:pPr>
      <w:pStyle w:val="Header"/>
    </w:pPr>
    <w:r>
      <w:t xml:space="preserve">Lugar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E7"/>
    <w:rsid w:val="00484FE7"/>
    <w:rsid w:val="007C2CDD"/>
    <w:rsid w:val="00B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A4D0-6C08-4EDB-9E86-19CEB32F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E7"/>
  </w:style>
  <w:style w:type="paragraph" w:styleId="Footer">
    <w:name w:val="footer"/>
    <w:basedOn w:val="Normal"/>
    <w:link w:val="FooterChar"/>
    <w:uiPriority w:val="99"/>
    <w:unhideWhenUsed/>
    <w:rsid w:val="00484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2014-05-05T19:11:00Z</dcterms:modified>
</cp:coreProperties>
</file>