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today, to discuss a matter of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concern. On December 9, The Washington Post reported that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is investigating a video posted on an Aegis-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affiliated Web site which contains scenes of violence and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shooting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Iraqi civilians.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estimated 25,000 private security contractors are currently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earning anywhere from $550 to $1,500 a day. Many of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their best to help maintain security for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However, if the events displayed in the video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accurate, the actions of these few contractors put our troops at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risk. The video depicts the back window of a PSD, personal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detail, vehicle. In the video you can hear a machine gun being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fired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cars which are clearly more than 50 meters behind the vehicle.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cars drift off the road after many shots, leaving one to assume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driver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shot dead. During the entire video, the Elvis Presley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song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``Mystery Train'' plays in the background.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behavior is offensive. The actions of the individuals in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video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our troops at risk because such incendiary behavior only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hatred towards Americans. Whether or not we agree with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presence in Iraq, we all agree that the safety of our troops is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paramount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in Iraq who wear uniforms are instant targets for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retaliatory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violence.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service men and women who deploy to Iraq serve because of a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selfless service and duty. As members of Congress, it is our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conduct oversight into the questionable behavior of the private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contractors. While our troops continue to be deployed to Iraq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situation remains fragile at best, it is in our best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civilian-contractors do not exacerbate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further.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Therefore, I will be seeking a congressional inquiry into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rules of engagement granted to private security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operating in Iraq. I will also recommend a review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contract awarded to Aegis Specialist Risk Management. If these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happening, we must stop them. We must take action so that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the Iraqi people know that gratuitous violence on the 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0C7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we deploy or employ will not be tolerated.</w:t>
      </w:r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C795B" w:rsidRPr="000C795B" w:rsidRDefault="000C795B" w:rsidP="000C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EF" w:rsidRDefault="001352EF" w:rsidP="007A4E81">
      <w:pPr>
        <w:spacing w:after="0" w:line="240" w:lineRule="auto"/>
      </w:pPr>
      <w:r>
        <w:separator/>
      </w:r>
    </w:p>
  </w:endnote>
  <w:endnote w:type="continuationSeparator" w:id="0">
    <w:p w:rsidR="001352EF" w:rsidRDefault="001352EF" w:rsidP="007A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EF" w:rsidRDefault="001352EF" w:rsidP="007A4E81">
      <w:pPr>
        <w:spacing w:after="0" w:line="240" w:lineRule="auto"/>
      </w:pPr>
      <w:r>
        <w:separator/>
      </w:r>
    </w:p>
  </w:footnote>
  <w:footnote w:type="continuationSeparator" w:id="0">
    <w:p w:rsidR="001352EF" w:rsidRDefault="001352EF" w:rsidP="007A4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E81" w:rsidRPr="007A4E81" w:rsidRDefault="007A4E81" w:rsidP="007A4E81">
    <w:pPr>
      <w:pStyle w:val="Header"/>
    </w:pPr>
    <w:r w:rsidRPr="007A4E81">
      <w:t>(Friday, December 16, 2005)]</w:t>
    </w:r>
  </w:p>
  <w:p w:rsidR="007A4E81" w:rsidRPr="007A4E81" w:rsidRDefault="007A4E81" w:rsidP="007A4E81">
    <w:pPr>
      <w:pStyle w:val="Header"/>
    </w:pPr>
    <w:r w:rsidRPr="007A4E81">
      <w:t>[Senate]</w:t>
    </w:r>
  </w:p>
  <w:p w:rsidR="007A4E81" w:rsidRDefault="007A4E81">
    <w:pPr>
      <w:pStyle w:val="Header"/>
    </w:pPr>
    <w:r>
      <w:t>Akaka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5B"/>
    <w:rsid w:val="00012A43"/>
    <w:rsid w:val="000C795B"/>
    <w:rsid w:val="001352EF"/>
    <w:rsid w:val="007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E81"/>
  </w:style>
  <w:style w:type="paragraph" w:styleId="Footer">
    <w:name w:val="footer"/>
    <w:basedOn w:val="Normal"/>
    <w:link w:val="FooterChar"/>
    <w:uiPriority w:val="99"/>
    <w:unhideWhenUsed/>
    <w:rsid w:val="007A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E81"/>
  </w:style>
  <w:style w:type="paragraph" w:styleId="Footer">
    <w:name w:val="footer"/>
    <w:basedOn w:val="Normal"/>
    <w:link w:val="FooterChar"/>
    <w:uiPriority w:val="99"/>
    <w:unhideWhenUsed/>
    <w:rsid w:val="007A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2015-01-10T10:10:00Z</dcterms:created>
  <dcterms:modified xsi:type="dcterms:W3CDTF">2015-01-10T10:10:00Z</dcterms:modified>
</cp:coreProperties>
</file>