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thank both of you for being here and for your testimony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your service at a tough time in our Nation’s history. I do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thank Ambassador Burns for mentioning, and Chairman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Kerry for mentioning, the three hikers, one of whom, Josh, is a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Pennsylvanian, and Sarah and Shane. And I know that our government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a lot steps to try to secure the release that has not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yet. We’re coming up on a year, but we’re grateful for the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look forward to continuing to work with you on that.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in that vein, with regard to freedom and human rights and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Internet freedom and freedom of expression, I want to—I was noting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Secretary Burns, the reference on page eight, page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onto page eight, where you state, ‘‘State and Treasury have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issue a general license that allows free market, downloadable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communication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software available inside Iran.’’ And I</w:t>
      </w:r>
      <w:bookmarkStart w:id="0" w:name="_GoBack"/>
      <w:bookmarkEnd w:id="0"/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may have already addressed this, but two things. One is,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can you tell us, in terms of an update—and again, this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redundant from what you’ve testified to earlier—an update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that effort is proceeding. And second, what if anything the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can do to help the administration in this area. I know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passed the Voice Act, we’ve done a number of things, but is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gap or a hole or a strategy that we haven’t acted that we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can be helpful to the administration with?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you say the waiver, explain how that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works. When you said the providing waiver, tell me how that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works.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you. I know that Under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Levey</w:t>
      </w:r>
      <w:proofErr w:type="spellEnd"/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part of the effort to keep the heat on the regime as it relates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sanctions. I know we’re—we meet here principally to focus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 United Nations has done. And in that vein, I want to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 about some of the congressional action on this, but I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looking at your testimony as well. On page six where you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the—the Islamic Revolutionary Guard Corps being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designated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Treasury in 2007, and you want to—you go on from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guess it’s second or—I think it’s the third sentence,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happened last week, the actions taken to supplement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actions. And in the end of the paragraph, you talk about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26 entities now that have been so designated.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if—let me ask you first, what if anything is left there, in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work to be done on putting pressure, particularly on the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Revolutionary Guard Corps, is there anything more that you would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 would do or do you think the sanctions that are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worked on now, by way of a conference committee, whether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that’s going to be sufficient to provide the kind of pressure,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particular, on the Guard Corps.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know we don’t have—we have not completed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conference work that will lead to final passage of the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legislation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But, let me conclude with this. There are a lot of people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say to me, ‘‘Well, it’s great you guys are going to pass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Congress to provide more authority for the President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administration.’’ Some authority, of course, will relate, as Senator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Brownback and I worked on the divestment, so we have other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government, pension funds, and local government and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 governments helping us, but in terms of the new authority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President, this administration and succeeding administrations,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urge both of you to be a very strong voice, to use the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granted. I know it’s I know it’s unilateral, I know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—there’s discretion involved to a substantial extent, but we need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the heat on this regime and we don’t want to pass legislation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just sits on the shelf. So, I know you have strong feelings</w:t>
      </w:r>
    </w:p>
    <w:p w:rsidR="003155D2" w:rsidRDefault="003155D2" w:rsidP="003155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about this, but I urge you to be a strong voice for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use of those enhanced authorities.</w:t>
      </w:r>
    </w:p>
    <w:p w:rsidR="00D857FE" w:rsidRDefault="003155D2" w:rsidP="003155D2">
      <w:pPr>
        <w:autoSpaceDE w:val="0"/>
        <w:autoSpaceDN w:val="0"/>
        <w:adjustRightInd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 very much.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sectPr w:rsidR="00D857F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5D2" w:rsidRDefault="003155D2" w:rsidP="003155D2">
      <w:pPr>
        <w:spacing w:after="0" w:line="240" w:lineRule="auto"/>
      </w:pPr>
      <w:r>
        <w:separator/>
      </w:r>
    </w:p>
  </w:endnote>
  <w:endnote w:type="continuationSeparator" w:id="0">
    <w:p w:rsidR="003155D2" w:rsidRDefault="003155D2" w:rsidP="00315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5D2" w:rsidRDefault="003155D2" w:rsidP="003155D2">
      <w:pPr>
        <w:spacing w:after="0" w:line="240" w:lineRule="auto"/>
      </w:pPr>
      <w:r>
        <w:separator/>
      </w:r>
    </w:p>
  </w:footnote>
  <w:footnote w:type="continuationSeparator" w:id="0">
    <w:p w:rsidR="003155D2" w:rsidRDefault="003155D2" w:rsidP="00315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5D2" w:rsidRDefault="003155D2">
    <w:pPr>
      <w:pStyle w:val="Header"/>
    </w:pPr>
    <w:r>
      <w:t xml:space="preserve">Casey </w:t>
    </w:r>
    <w:r>
      <w:tab/>
      <w:t xml:space="preserve">Iran </w:t>
    </w:r>
    <w:r>
      <w:tab/>
      <w:t>June 22, 2010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D2"/>
    <w:rsid w:val="003155D2"/>
    <w:rsid w:val="00D8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7E83F-16A0-4D3C-94CA-2EB9633D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5D2"/>
  </w:style>
  <w:style w:type="paragraph" w:styleId="Footer">
    <w:name w:val="footer"/>
    <w:basedOn w:val="Normal"/>
    <w:link w:val="FooterChar"/>
    <w:uiPriority w:val="99"/>
    <w:unhideWhenUsed/>
    <w:rsid w:val="00315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2014-04-11T19:17:00Z</dcterms:created>
  <dcterms:modified xsi:type="dcterms:W3CDTF">2014-04-11T19:23:00Z</dcterms:modified>
</cp:coreProperties>
</file>