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my friend Senator Corker’s concerns. I wish some of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voices—he wasn’t here at the time—had been raised about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where we have lost an enormous amount of United States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lives, for a mission that I didn’t think was in our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Foreign Minister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reportedly the expert on the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But, his close affiliation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to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implicates him in the terror perpetuated and supported by that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leave after this, but will leave it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head of Libya’s intelligence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reportedly responsible, or at least knowledgeable,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kidnappings, torture, and murders committed by the regime,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bombing of Pan Am 103. This is a man who,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1980, was expelled from his position as Libya’s envoy in London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calling, in a newspaper interview, for the killing of dissidents,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Times that ‘‘the revolutionary committees have decided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 to kill two more people in the United Kingdom, and I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this.’’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my opinion, this is a man that should be charged with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humanity. Instead, the U.S. Treasury has lifted the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assets, hoping the move will encourage other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Libyan officials to split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is the intelligence that we seek to collect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the example of having others defect so great, that we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overlook his personal history, his crimes, and the deaths of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Pan Am 103 that killed 270 people, including 34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Jerseyans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what we seek to gain from him worth the price that we’ll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pay?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it make sense to unfreeze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assets? What do we gain from that?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of it a little differently. I don’t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simply as a tactic. I think it is to some degree, a policy.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your policy be one of unfreezing the assets of those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significantly violate human rights, who may have been in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midst of killing people and ordering the execution of terrorist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don’t understand the standard that we set. To me, it’s more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tactic. It sends a message that even if you have committed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be excused. I’m not sure that that’s the message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send.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appreciate that. The point is that he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defected. So, if anything, he’s got to be worried about prosecution.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Unfreezing his assets doesn’t seem to me a tactic or a policy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pursue.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this. You know,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trained terrorists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Africa. And his reign of terror extended well beyond his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and regional borders. This is a man who referred, in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1985, to the slaughter of innocent travelers that included an 11-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child as a ‘‘noble act.’’ Is there any question, if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and other efforts were to fail in accomplishing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resignation, that he would, if in power, continue to support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move in that direction, after everything he’s done?</w:t>
      </w:r>
    </w:p>
    <w:p w:rsid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opinions on that? No. Thank you</w:t>
      </w:r>
    </w:p>
    <w:p w:rsidR="004E11B9" w:rsidRPr="004A0F39" w:rsidRDefault="004A0F39" w:rsidP="004A0F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</w:t>
      </w:r>
      <w:bookmarkStart w:id="0" w:name="_GoBack"/>
      <w:bookmarkEnd w:id="0"/>
    </w:p>
    <w:sectPr w:rsidR="004E11B9" w:rsidRPr="004A0F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39" w:rsidRDefault="004A0F39" w:rsidP="004A0F39">
      <w:pPr>
        <w:spacing w:after="0" w:line="240" w:lineRule="auto"/>
      </w:pPr>
      <w:r>
        <w:separator/>
      </w:r>
    </w:p>
  </w:endnote>
  <w:endnote w:type="continuationSeparator" w:id="0">
    <w:p w:rsidR="004A0F39" w:rsidRDefault="004A0F39" w:rsidP="004A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39" w:rsidRDefault="004A0F39" w:rsidP="004A0F39">
      <w:pPr>
        <w:spacing w:after="0" w:line="240" w:lineRule="auto"/>
      </w:pPr>
      <w:r>
        <w:separator/>
      </w:r>
    </w:p>
  </w:footnote>
  <w:footnote w:type="continuationSeparator" w:id="0">
    <w:p w:rsidR="004A0F39" w:rsidRDefault="004A0F39" w:rsidP="004A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39" w:rsidRDefault="004A0F39">
    <w:pPr>
      <w:pStyle w:val="Header"/>
    </w:pPr>
    <w:r>
      <w:t>Menendez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39"/>
    <w:rsid w:val="004A0F39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56409-6EAB-4C6D-8287-C8EB64BD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39"/>
  </w:style>
  <w:style w:type="paragraph" w:styleId="Footer">
    <w:name w:val="footer"/>
    <w:basedOn w:val="Normal"/>
    <w:link w:val="FooterChar"/>
    <w:uiPriority w:val="99"/>
    <w:unhideWhenUsed/>
    <w:rsid w:val="004A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2605</Characters>
  <Application>Microsoft Office Word</Application>
  <DocSecurity>0</DocSecurity>
  <Lines>21</Lines>
  <Paragraphs>6</Paragraphs>
  <ScaleCrop>false</ScaleCrop>
  <Company>Missouri State University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2014-05-06T16:48:00Z</dcterms:modified>
</cp:coreProperties>
</file>