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8B" w:rsidRDefault="00815BCD">
      <w:r>
        <w:t>Across years</w:t>
      </w:r>
    </w:p>
    <w:p w:rsidR="00815BCD" w:rsidRDefault="00815BCD" w:rsidP="00CA55DE">
      <w:r>
        <w:t>Grouped frequency chart of number of papers by half decade</w:t>
      </w:r>
      <w:r w:rsidR="00CA55DE">
        <w:t xml:space="preserve"> (Bradley and Lang is listed as 1999/2007, but was listed as only appearing in 1999 in these analyses.)</w:t>
      </w:r>
    </w:p>
    <w:p w:rsidR="00CA55DE" w:rsidRDefault="002E008A" w:rsidP="00CA55DE">
      <w:r>
        <w:rPr>
          <w:noProof/>
        </w:rPr>
        <w:drawing>
          <wp:inline distT="0" distB="0" distL="0" distR="0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55DE" w:rsidRDefault="00CA55DE" w:rsidP="00CA55DE">
      <w:pPr>
        <w:pStyle w:val="ListParagraph"/>
        <w:numPr>
          <w:ilvl w:val="0"/>
          <w:numId w:val="1"/>
        </w:numPr>
      </w:pPr>
      <w:r>
        <w:t>Also average number of papers by decade = 49.18</w:t>
      </w:r>
    </w:p>
    <w:p w:rsidR="006A59D0" w:rsidRDefault="006A59D0" w:rsidP="00CA55DE">
      <w:pPr>
        <w:pStyle w:val="ListParagraph"/>
        <w:numPr>
          <w:ilvl w:val="0"/>
          <w:numId w:val="1"/>
        </w:numPr>
      </w:pPr>
      <w:r>
        <w:t>Average number of papers across decades:</w:t>
      </w:r>
    </w:p>
    <w:p w:rsidR="006A59D0" w:rsidRDefault="006A59D0" w:rsidP="006A59D0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55DE" w:rsidRDefault="00CA55DE" w:rsidP="00CA55DE"/>
    <w:p w:rsidR="00CA55DE" w:rsidRDefault="00CA55DE" w:rsidP="00CA55DE">
      <w:r>
        <w:lastRenderedPageBreak/>
        <w:t>Grouped frequency chart of average number of tags by half decade</w:t>
      </w:r>
    </w:p>
    <w:p w:rsidR="00CA55DE" w:rsidRDefault="00CA55DE">
      <w:bookmarkStart w:id="0" w:name="_GoBack"/>
      <w:bookmarkEnd w:id="0"/>
    </w:p>
    <w:sectPr w:rsidR="00CA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C059D"/>
    <w:multiLevelType w:val="hybridMultilevel"/>
    <w:tmpl w:val="EBCC8156"/>
    <w:lvl w:ilvl="0" w:tplc="C7ACB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D"/>
    <w:rsid w:val="002E008A"/>
    <w:rsid w:val="006A59D0"/>
    <w:rsid w:val="00815BCD"/>
    <w:rsid w:val="0089748B"/>
    <w:rsid w:val="00CA55DE"/>
    <w:rsid w:val="00D0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0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0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articles published in each 5 year period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</c:v>
                </c:pt>
              </c:strCache>
            </c:strRef>
          </c:tx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1910.0</c:v>
                </c:pt>
                <c:pt idx="1">
                  <c:v>1915.0</c:v>
                </c:pt>
                <c:pt idx="2">
                  <c:v>1920.0</c:v>
                </c:pt>
                <c:pt idx="3">
                  <c:v>1925.0</c:v>
                </c:pt>
                <c:pt idx="4">
                  <c:v>1930.0</c:v>
                </c:pt>
                <c:pt idx="5">
                  <c:v>1935.0</c:v>
                </c:pt>
                <c:pt idx="6">
                  <c:v>1940.0</c:v>
                </c:pt>
                <c:pt idx="7">
                  <c:v>1945.0</c:v>
                </c:pt>
                <c:pt idx="8">
                  <c:v>1950.0</c:v>
                </c:pt>
                <c:pt idx="9">
                  <c:v>1955.0</c:v>
                </c:pt>
                <c:pt idx="10">
                  <c:v>1960.0</c:v>
                </c:pt>
                <c:pt idx="11">
                  <c:v>1965.0</c:v>
                </c:pt>
                <c:pt idx="12">
                  <c:v>1970.0</c:v>
                </c:pt>
                <c:pt idx="13">
                  <c:v>1975.0</c:v>
                </c:pt>
                <c:pt idx="14">
                  <c:v>1980.0</c:v>
                </c:pt>
                <c:pt idx="15">
                  <c:v>1985.0</c:v>
                </c:pt>
                <c:pt idx="16">
                  <c:v>1990.0</c:v>
                </c:pt>
                <c:pt idx="17">
                  <c:v>1995.0</c:v>
                </c:pt>
                <c:pt idx="18">
                  <c:v>2000.0</c:v>
                </c:pt>
                <c:pt idx="19">
                  <c:v>2005.0</c:v>
                </c:pt>
                <c:pt idx="20">
                  <c:v>2010.0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1.0</c:v>
                </c:pt>
                <c:pt idx="7">
                  <c:v>1.0</c:v>
                </c:pt>
                <c:pt idx="8">
                  <c:v>0.0</c:v>
                </c:pt>
                <c:pt idx="9">
                  <c:v>2.0</c:v>
                </c:pt>
                <c:pt idx="10">
                  <c:v>16.0</c:v>
                </c:pt>
                <c:pt idx="11">
                  <c:v>40.0</c:v>
                </c:pt>
                <c:pt idx="12">
                  <c:v>44.0</c:v>
                </c:pt>
                <c:pt idx="13">
                  <c:v>35.0</c:v>
                </c:pt>
                <c:pt idx="14">
                  <c:v>33.0</c:v>
                </c:pt>
                <c:pt idx="15">
                  <c:v>15.0</c:v>
                </c:pt>
                <c:pt idx="16">
                  <c:v>21.0</c:v>
                </c:pt>
                <c:pt idx="17">
                  <c:v>42.0</c:v>
                </c:pt>
                <c:pt idx="18">
                  <c:v>72.0</c:v>
                </c:pt>
                <c:pt idx="19">
                  <c:v>108.0</c:v>
                </c:pt>
                <c:pt idx="20">
                  <c:v>110.0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5706744"/>
        <c:axId val="415709736"/>
      </c:barChart>
      <c:catAx>
        <c:axId val="415706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15709736"/>
        <c:crosses val="autoZero"/>
        <c:auto val="1"/>
        <c:lblAlgn val="ctr"/>
        <c:lblOffset val="100"/>
        <c:noMultiLvlLbl val="0"/>
      </c:catAx>
      <c:valAx>
        <c:axId val="415709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570674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1910.0</c:v>
                </c:pt>
                <c:pt idx="1">
                  <c:v>1920.0</c:v>
                </c:pt>
                <c:pt idx="2">
                  <c:v>1930.0</c:v>
                </c:pt>
                <c:pt idx="3">
                  <c:v>1940.0</c:v>
                </c:pt>
                <c:pt idx="4">
                  <c:v>1950.0</c:v>
                </c:pt>
                <c:pt idx="5">
                  <c:v>1960.0</c:v>
                </c:pt>
                <c:pt idx="6">
                  <c:v>1970.0</c:v>
                </c:pt>
                <c:pt idx="7">
                  <c:v>1980.0</c:v>
                </c:pt>
                <c:pt idx="8">
                  <c:v>1990.0</c:v>
                </c:pt>
                <c:pt idx="9">
                  <c:v>2000.0</c:v>
                </c:pt>
                <c:pt idx="10">
                  <c:v>2010.0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1.0</c:v>
                </c:pt>
                <c:pt idx="1">
                  <c:v>0.0</c:v>
                </c:pt>
                <c:pt idx="2">
                  <c:v>0.0</c:v>
                </c:pt>
                <c:pt idx="3">
                  <c:v>2.0</c:v>
                </c:pt>
                <c:pt idx="4">
                  <c:v>2.0</c:v>
                </c:pt>
                <c:pt idx="5">
                  <c:v>56.0</c:v>
                </c:pt>
                <c:pt idx="6">
                  <c:v>79.0</c:v>
                </c:pt>
                <c:pt idx="7">
                  <c:v>48.0</c:v>
                </c:pt>
                <c:pt idx="8">
                  <c:v>63.0</c:v>
                </c:pt>
                <c:pt idx="9">
                  <c:v>180.0</c:v>
                </c:pt>
                <c:pt idx="10">
                  <c:v>110.0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165256"/>
        <c:axId val="449546584"/>
      </c:barChart>
      <c:catAx>
        <c:axId val="452165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9546584"/>
        <c:crosses val="autoZero"/>
        <c:auto val="1"/>
        <c:lblAlgn val="ctr"/>
        <c:lblOffset val="100"/>
        <c:noMultiLvlLbl val="0"/>
      </c:catAx>
      <c:valAx>
        <c:axId val="449546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21652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Katy Valentine</cp:lastModifiedBy>
  <cp:revision>1</cp:revision>
  <dcterms:created xsi:type="dcterms:W3CDTF">2013-07-17T19:25:00Z</dcterms:created>
  <dcterms:modified xsi:type="dcterms:W3CDTF">2013-07-20T16:19:00Z</dcterms:modified>
</cp:coreProperties>
</file>