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3.png" ContentType="image/png"/>
  <Override PartName="/word/media/rId46.png" ContentType="image/png"/>
  <Override PartName="/word/media/rId39.png" ContentType="image/png"/>
  <Override PartName="/word/media/rId58.png" ContentType="image/png"/>
  <Override PartName="/word/media/rId49.png" ContentType="image/png"/>
  <Override PartName="/word/media/rId197.png" ContentType="image/png"/>
  <Override PartName="/word/media/rId193.png" ContentType="image/png"/>
  <Override PartName="/word/media/rId52.png" ContentType="image/png"/>
  <Override PartName="/word/media/rId35.png" ContentType="image/png"/>
  <Override PartName="/word/media/rId2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examined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are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 REWRITE THIS</w:t>
      </w:r>
    </w:p>
    <w:p>
      <w:pPr>
        <w:pStyle w:val="Textkrper"/>
      </w:pPr>
      <w:r>
        <w:rPr>
          <w:iCs/>
          <w:i/>
        </w:rPr>
        <w:t xml:space="preserve">Keywords:</w:t>
      </w:r>
      <w:r>
        <w:t xml:space="preserve"> </w:t>
      </w:r>
      <w:r>
        <w:t xml:space="preserve">big team, science, authorship, credit</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Hamlin, Sullivan, Parker, &amp; Altschul, 2022; Forscher et al., 2020; N. Stewart, Chandler, &amp; Paolacci,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Lau, &amp; Howard, 2015; Nelson, Simmons, &amp; Simonsohn, 2018; Zwaan, Etz, Lucas, &amp; Donnellan,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subfields of</w:t>
      </w:r>
      <w:r>
        <w:t xml:space="preserve"> </w:t>
      </w:r>
      <w:r>
        <w:t xml:space="preserve">research areas, age groups, and education levels should help to drive</w:t>
      </w:r>
      <w:r>
        <w:t xml:space="preserve"> </w:t>
      </w:r>
      <w:r>
        <w:t xml:space="preserve">science in the path of better materials, reliability, generalizability</w:t>
      </w:r>
      <w:r>
        <w:t xml:space="preserve"> </w:t>
      </w:r>
      <w:r>
        <w:t xml:space="preserve">and more robust sample sizes (when necessary) in a study</w:t>
      </w:r>
      <w:r>
        <w:t xml:space="preserve"> </w:t>
      </w:r>
      <w:r>
        <w:t xml:space="preserve">(Auspurg &amp; Brüderl, 2021; LeBel, McCarthy, Earp, Elson, &amp; Vanpaemel, 2018; Brian A.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Schiavone, &amp; Bottesini, 2022)</w:t>
      </w:r>
      <w:r>
        <w:t xml:space="preserve">.</w:t>
      </w:r>
      <w:r>
        <w:t xml:space="preserve"> </w:t>
      </w:r>
      <w:r>
        <w:t xml:space="preserve">Generally, the movement appears to have been driven by early career</w:t>
      </w:r>
      <w:r>
        <w:t xml:space="preserve"> </w:t>
      </w:r>
      <w:r>
        <w:t xml:space="preserve">researchers (i.e., those who are within five years of their first</w:t>
      </w:r>
      <w:r>
        <w:t xml:space="preserve"> </w:t>
      </w:r>
      <w:r>
        <w:t xml:space="preserve">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Richard A. Klein et al., 2022; for example, Richard A.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B. C.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Malhotra, &amp; Simonovits, 2014; Hubbard &amp; Armstrong, 1997; Brian A. Nosek, Spies, &amp; Motyl,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Richard A.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Loewenstein, &amp; Prelec,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B. A.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(Brian A. 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(B. A. Nosek et al., 2015)</w:t>
      </w:r>
      <w:r>
        <w:t xml:space="preserve"> </w:t>
      </w:r>
      <w:r>
        <w:t xml:space="preserve">and the Contributor Role Taxonomy (CRediT) system</w:t>
      </w:r>
      <w:r>
        <w:t xml:space="preserve"> </w:t>
      </w:r>
      <w:r>
        <w:t xml:space="preserve">(Allen, O’Connell, &amp; Kiermer,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Heine, &amp; Norenzayan, 2010; Newson, Buhrmester, Xygalatas, &amp; Whitehouse, 2021; Rad, Martingano, &amp; Ginges,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Florio, Forte, Rossi, &amp; Sirtori, 2018)</w:t>
      </w:r>
      <w:r>
        <w:t xml:space="preserve"> </w:t>
      </w:r>
      <w:r>
        <w:t xml:space="preserve">and</w:t>
      </w:r>
      <w:r>
        <w:t xml:space="preserve"> </w:t>
      </w:r>
      <w:r>
        <w:t xml:space="preserve">Biology</w:t>
      </w:r>
      <w:r>
        <w:t xml:space="preserve"> </w:t>
      </w:r>
      <w:r>
        <w:t xml:space="preserve">(Collins, Morgan, &amp; Patrinos,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B. C.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examined the themes of</w:t>
      </w:r>
      <w:r>
        <w:t xml:space="preserve"> </w:t>
      </w:r>
      <w:r>
        <w:t xml:space="preserve">inclusivity, research careers, and research globalization. We see an</w:t>
      </w:r>
      <w:r>
        <w:t xml:space="preserve"> </w:t>
      </w:r>
      <w:r>
        <w:t xml:space="preserve">increasing interest and number of publications in BTS but we do not yet</w:t>
      </w:r>
      <w:r>
        <w:t xml:space="preserve"> </w:t>
      </w:r>
      <w:r>
        <w:t xml:space="preserve">know if 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8"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This manuscript was preregistered with the same conceptual ideas using</w:t>
      </w:r>
      <w:r>
        <w:t xml:space="preserve"> </w:t>
      </w:r>
      <w:r>
        <w:t xml:space="preserve">Google Scholar and ORC-ID databases (</w:t>
      </w:r>
      <w:hyperlink r:id="rId24">
        <w:r>
          <w:rPr>
            <w:rStyle w:val="Hyperlink"/>
          </w:rPr>
          <w:t xml:space="preserve">https://osf.io/f2dtr</w:t>
        </w:r>
      </w:hyperlink>
      <w:r>
        <w:t xml:space="preserve">) but then</w:t>
      </w:r>
      <w:r>
        <w:t xml:space="preserve"> </w:t>
      </w:r>
      <w:r>
        <w:t xml:space="preserve">was updated with access to the Scopus database for a broader picture of</w:t>
      </w:r>
      <w:r>
        <w:t xml:space="preserve"> </w:t>
      </w:r>
      <w:r>
        <w:t xml:space="preserve">BTS projects (</w:t>
      </w:r>
      <w:hyperlink r:id="rId25">
        <w:r>
          <w:rPr>
            <w:rStyle w:val="Hyperlink"/>
          </w:rPr>
          <w:t xml:space="preserve">https://osf.io/fheun</w:t>
        </w:r>
      </w:hyperlink>
      <w:r>
        <w:t xml:space="preserve">). All materials and code can be</w:t>
      </w:r>
      <w:r>
        <w:t xml:space="preserve"> </w:t>
      </w:r>
      <w:r>
        <w:t xml:space="preserve">found on our OSF page:</w:t>
      </w:r>
      <w:r>
        <w:t xml:space="preserve"> </w:t>
      </w:r>
      <w:hyperlink r:id="rId26">
        <w:r>
          <w:rPr>
            <w:rStyle w:val="Hyperlink"/>
          </w:rPr>
          <w:t xml:space="preserve">https://osf.io/cgx6u/</w:t>
        </w:r>
      </w:hyperlink>
      <w:r>
        <w:t xml:space="preserve"> </w:t>
      </w:r>
      <w:r>
        <w:t xml:space="preserve">or corresponding GitHub</w:t>
      </w:r>
      <w:r>
        <w:t xml:space="preserve"> </w:t>
      </w:r>
      <w:r>
        <w:t xml:space="preserve">archive:</w:t>
      </w:r>
      <w:r>
        <w:t xml:space="preserve"> </w:t>
      </w:r>
      <w:hyperlink r:id="rId27">
        <w:r>
          <w:rPr>
            <w:rStyle w:val="Hyperlink"/>
          </w:rPr>
          <w:t xml:space="preserve">https://github.com/doomlab/big_team_who</w:t>
        </w:r>
      </w:hyperlink>
      <w:r>
        <w:t xml:space="preserve">.</w:t>
      </w:r>
    </w:p>
    <w:bookmarkEnd w:id="28"/>
    <w:bookmarkStart w:id="34" w:name="method"/>
    <w:p>
      <w:pPr>
        <w:pStyle w:val="berschrift1"/>
      </w:pPr>
      <w:r>
        <w:t xml:space="preserve">Method</w:t>
      </w:r>
    </w:p>
    <w:bookmarkStart w:id="29" w:name="publications"/>
    <w:p>
      <w:pPr>
        <w:pStyle w:val="berschrift2"/>
      </w:pPr>
      <w:r>
        <w:t xml:space="preserve">Publications</w:t>
      </w:r>
    </w:p>
    <w:p>
      <w:pPr>
        <w:pStyle w:val="FirstParagraph"/>
      </w:pPr>
      <w:r>
        <w:t xml:space="preserve">We have defined BTS publications as publications with at least ten</w:t>
      </w:r>
      <w:r>
        <w:t xml:space="preserve"> </w:t>
      </w:r>
      <w:r>
        <w:t xml:space="preserve">authors at ten different institutions that were published in</w:t>
      </w:r>
      <w:r>
        <w:t xml:space="preserve"> </w:t>
      </w:r>
      <w:r>
        <w:t xml:space="preserve">peer-reviewed journals or had posted a full paper pre-print. We used</w:t>
      </w:r>
      <w:r>
        <w:t xml:space="preserve"> </w:t>
      </w:r>
      <w:r>
        <w:t xml:space="preserve">data from 1970 and forward in the Scopus database, as it is noted online</w:t>
      </w:r>
      <w:r>
        <w:t xml:space="preserve"> </w:t>
      </w:r>
      <w:r>
        <w:t xml:space="preserve">that this time period includes cited references for calculation of</w:t>
      </w:r>
      <w:r>
        <w:t xml:space="preserve"> </w:t>
      </w:r>
      <w:r>
        <w:t xml:space="preserve">several of our variables described below. We will analyze our results</w:t>
      </w:r>
      <w:r>
        <w:t xml:space="preserve"> </w:t>
      </w:r>
      <w:r>
        <w:t xml:space="preserve">based on four subject areas present in the Scopus database: Physical</w:t>
      </w:r>
      <w:r>
        <w:t xml:space="preserve"> </w:t>
      </w:r>
      <w:r>
        <w:t xml:space="preserve">Sciences, Health Sciences, Social Sciences, and Life Sciences. We</w:t>
      </w:r>
      <w:r>
        <w:t xml:space="preserve"> </w:t>
      </w:r>
      <w:r>
        <w:t xml:space="preserve">filtered the database to include articles, articles in press, business</w:t>
      </w:r>
      <w:r>
        <w:t xml:space="preserve"> </w:t>
      </w:r>
      <w:r>
        <w:t xml:space="preserve">articles, conference papers, data papers, preprints, and surveys using</w:t>
      </w:r>
      <w:r>
        <w:t xml:space="preserve"> </w:t>
      </w:r>
      <w:r>
        <w:t xml:space="preserve">Elsevier’s classification system. This project was supported by access</w:t>
      </w:r>
      <w:r>
        <w:t xml:space="preserve"> </w:t>
      </w:r>
      <w:r>
        <w:t xml:space="preserve">to the Scopus database through the International Center for the Study of</w:t>
      </w:r>
      <w:r>
        <w:t xml:space="preserve"> </w:t>
      </w:r>
      <w:r>
        <w:t xml:space="preserve">Research.</w:t>
      </w:r>
    </w:p>
    <w:bookmarkEnd w:id="29"/>
    <w:bookmarkStart w:id="33" w:name="data-curation"/>
    <w:p>
      <w:pPr>
        <w:pStyle w:val="berschrift2"/>
      </w:pPr>
      <w:r>
        <w:t xml:space="preserve">Data Curation</w:t>
      </w:r>
    </w:p>
    <w:bookmarkStart w:id="30" w:name="rq1-publisher-information"/>
    <w:p>
      <w:pPr>
        <w:pStyle w:val="berschrift3"/>
      </w:pPr>
      <w:r>
        <w:t xml:space="preserve">RQ1: Publisher Information.</w:t>
      </w:r>
    </w:p>
    <w:p>
      <w:pPr>
        <w:pStyle w:val="FirstParagraph"/>
      </w:pPr>
      <w:r>
        <w:t xml:space="preserve">We extracted the following information for publication sources: the name</w:t>
      </w:r>
      <w:r>
        <w:t xml:space="preserve"> </w:t>
      </w:r>
      <w:r>
        <w:t xml:space="preserve">of the publication (source title), subject area (both the large four</w:t>
      </w:r>
      <w:r>
        <w:t xml:space="preserve"> </w:t>
      </w:r>
      <w:r>
        <w:t xml:space="preserve">subject areas and the smaller four digit all science journal</w:t>
      </w:r>
      <w:r>
        <w:t xml:space="preserve"> </w:t>
      </w:r>
      <w:r>
        <w:t xml:space="preserve">classification [ASJC] code), and the journal impact using the Source</w:t>
      </w:r>
      <w:r>
        <w:t xml:space="preserve"> </w:t>
      </w:r>
      <w:r>
        <w:t xml:space="preserve">Normalized Impact per Paper (SNIP).</w:t>
      </w:r>
    </w:p>
    <w:bookmarkEnd w:id="30"/>
    <w:bookmarkStart w:id="31" w:name="rq2-publication-information"/>
    <w:p>
      <w:pPr>
        <w:pStyle w:val="berschrift3"/>
      </w:pPr>
      <w:r>
        <w:t xml:space="preserve">RQ2: Publication Information.</w:t>
      </w:r>
    </w:p>
    <w:p>
      <w:pPr>
        <w:pStyle w:val="FirstParagraph"/>
      </w:pPr>
      <w:r>
        <w:t xml:space="preserve">For each publication of the identified BTS publications, we examined the</w:t>
      </w:r>
      <w:r>
        <w:t xml:space="preserve"> </w:t>
      </w:r>
      <w:r>
        <w:t xml:space="preserve">full four digit ASJC subject areas codes for each of the larger four</w:t>
      </w:r>
      <w:r>
        <w:t xml:space="preserve"> </w:t>
      </w:r>
      <w:r>
        <w:t xml:space="preserve">subject areas and the keywords present for these publications.</w:t>
      </w:r>
    </w:p>
    <w:bookmarkEnd w:id="31"/>
    <w:bookmarkStart w:id="32" w:name="rq3-author-information"/>
    <w:p>
      <w:pPr>
        <w:pStyle w:val="berschrift3"/>
      </w:pPr>
      <w:r>
        <w:t xml:space="preserve">RQ3: Author Information.</w:t>
      </w:r>
    </w:p>
    <w:p>
      <w:pPr>
        <w:pStyle w:val="FirstParagraph"/>
      </w:pPr>
      <w:r>
        <w:t xml:space="preserve">The author list was extracted from each publication. Next, we used the</w:t>
      </w:r>
      <w:r>
        <w:t xml:space="preserve"> </w:t>
      </w:r>
      <w:r>
        <w:t xml:space="preserve">author and affiliation arrays to curate a list of all publications and</w:t>
      </w:r>
      <w:r>
        <w:t xml:space="preserve"> </w:t>
      </w:r>
      <w:r>
        <w:t xml:space="preserve">author information included in BTS papers to calculate the variables</w:t>
      </w:r>
      <w:r>
        <w:t xml:space="preserve"> </w:t>
      </w:r>
      <w:r>
        <w:t xml:space="preserve">described below.</w:t>
      </w:r>
    </w:p>
    <w:p>
      <w:pPr>
        <w:pStyle w:val="Textkrper"/>
      </w:pPr>
      <w:r>
        <w:rPr>
          <w:iCs/>
          <w:i/>
          <w:bCs/>
          <w:b/>
        </w:rPr>
        <w:t xml:space="preserve">Career Length</w:t>
      </w:r>
      <w:r>
        <w:t xml:space="preserve">. Career length for each author was defined as the</w:t>
      </w:r>
      <w:r>
        <w:t xml:space="preserve"> </w:t>
      </w:r>
      <w:r>
        <w:t xml:space="preserve">year of the first publication minus the current year listed for each</w:t>
      </w:r>
      <w:r>
        <w:t xml:space="preserve"> </w:t>
      </w:r>
      <w:r>
        <w:t xml:space="preserve">author.</w:t>
      </w:r>
    </w:p>
    <w:p>
      <w:pPr>
        <w:pStyle w:val="Textkrper"/>
      </w:pPr>
      <w:r>
        <w:rPr>
          <w:iCs/>
          <w:i/>
          <w:bCs/>
          <w:b/>
        </w:rPr>
        <w:t xml:space="preserve">Institution and Geopolitical Region</w:t>
      </w:r>
      <w:r>
        <w:t xml:space="preserve">. We used the affiliation ids</w:t>
      </w:r>
      <w:r>
        <w:t xml:space="preserve"> </w:t>
      </w:r>
      <w:r>
        <w:t xml:space="preserve">and country to gather information about the places of education and/or</w:t>
      </w:r>
      <w:r>
        <w:t xml:space="preserve"> </w:t>
      </w:r>
      <w:r>
        <w:t xml:space="preserve">employment for authors. Geopolitical region was created by binning these</w:t>
      </w:r>
      <w:r>
        <w:t xml:space="preserve"> </w:t>
      </w:r>
      <w:r>
        <w:t xml:space="preserve">codes into United Nation Regions.</w:t>
      </w:r>
    </w:p>
    <w:p>
      <w:pPr>
        <w:pStyle w:val="Textkrper"/>
      </w:pPr>
      <w:r>
        <w:rPr>
          <w:iCs/>
          <w:i/>
          <w:bCs/>
          <w:b/>
        </w:rPr>
        <w:t xml:space="preserve">Education</w:t>
      </w:r>
      <w:r>
        <w:t xml:space="preserve">. We collected degree information from the author table.</w:t>
      </w:r>
      <w:r>
        <w:t xml:space="preserve"> </w:t>
      </w:r>
      <w:r>
        <w:t xml:space="preserve">Information on this variable is in the appendix.</w:t>
      </w:r>
    </w:p>
    <w:p>
      <w:pPr>
        <w:pStyle w:val="Textkrper"/>
      </w:pPr>
      <w:r>
        <w:rPr>
          <w:iCs/>
          <w:i/>
          <w:bCs/>
          <w:b/>
        </w:rPr>
        <w:t xml:space="preserve">Types of Publications</w:t>
      </w:r>
      <w:r>
        <w:t xml:space="preserve">. We took information from the publication</w:t>
      </w:r>
      <w:r>
        <w:t xml:space="preserve"> </w:t>
      </w:r>
      <w:r>
        <w:t xml:space="preserve">type variable for each author’s publications to present information</w:t>
      </w:r>
      <w:r>
        <w:t xml:space="preserve"> </w:t>
      </w:r>
      <w:r>
        <w:t xml:space="preserve">about the types of papers BTS authors publish. Information on this</w:t>
      </w:r>
      <w:r>
        <w:t xml:space="preserve"> </w:t>
      </w:r>
      <w:r>
        <w:t xml:space="preserve">variable is in the appendix.</w:t>
      </w:r>
    </w:p>
    <w:p>
      <w:pPr>
        <w:pStyle w:val="Textkrper"/>
      </w:pPr>
      <w:r>
        <w:rPr>
          <w:iCs/>
          <w:i/>
          <w:bCs/>
          <w:b/>
        </w:rPr>
        <w:t xml:space="preserve">Publication Metrics</w:t>
      </w:r>
      <w:r>
        <w:t xml:space="preserve">. For each author, we calculated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r>
        <w:t xml:space="preserve"> </w:t>
      </w:r>
      <w:r>
        <w:rPr>
          <w:iCs/>
          <w:i/>
        </w:rPr>
        <w:t xml:space="preserve">h</w:t>
      </w:r>
      <w:r>
        <w:t xml:space="preserve">-count was only used for descriptive statistics.</w:t>
      </w:r>
    </w:p>
    <w:bookmarkEnd w:id="32"/>
    <w:bookmarkEnd w:id="33"/>
    <w:bookmarkEnd w:id="34"/>
    <w:bookmarkStart w:id="62" w:name="results"/>
    <w:p>
      <w:pPr>
        <w:pStyle w:val="berschrift1"/>
      </w:pPr>
      <w:r>
        <w:t xml:space="preserve">Results</w:t>
      </w:r>
    </w:p>
    <w:p>
      <w:pPr>
        <w:pStyle w:val="FirstParagraph"/>
      </w:pPr>
      <w:r>
        <w:t xml:space="preserve">We used the 95% confidence interval to make decisions on predictor or</w:t>
      </w:r>
      <w:r>
        <w:t xml:space="preserve"> </w:t>
      </w:r>
      <w:r>
        <w:t xml:space="preserve">effect size differences from zero. The confidence interval that does not</w:t>
      </w:r>
      <w:r>
        <w:t xml:space="preserve"> </w:t>
      </w:r>
      <w:r>
        <w:t xml:space="preserve">include zero would be considered different from zero (to four decimal</w:t>
      </w:r>
      <w:r>
        <w:t xml:space="preserve"> </w:t>
      </w:r>
      <w:r>
        <w:t xml:space="preserve">places). We made no directional predictions.</w:t>
      </w:r>
    </w:p>
    <w:bookmarkStart w:id="38" w:name="rq1-publisher-information."/>
    <w:p>
      <w:pPr>
        <w:pStyle w:val="berschrift2"/>
      </w:pPr>
      <w:r>
        <w:t xml:space="preserve">RQ1: Publisher Information.</w:t>
      </w:r>
    </w:p>
    <w:p>
      <w:pPr>
        <w:pStyle w:val="FirstParagraph"/>
      </w:pPr>
      <w:r>
        <w:rPr>
          <w:iCs/>
          <w:i/>
        </w:rPr>
        <w:t xml:space="preserve">Number of articles</w:t>
      </w:r>
      <w:r>
        <w:t xml:space="preserve">. The total number of articles included in this</w:t>
      </w:r>
      <w:r>
        <w:t xml:space="preserve"> </w:t>
      </w:r>
      <w:r>
        <w:t xml:space="preserve">analysis was 510334 including 445301 Health Sciences</w:t>
      </w:r>
      <w:r>
        <w:t xml:space="preserve"> </w:t>
      </w:r>
      <w:r>
        <w:t xml:space="preserve">articles, 228194 Physical Sciences articles, 26652</w:t>
      </w:r>
      <w:r>
        <w:t xml:space="preserve"> </w:t>
      </w:r>
      <w:r>
        <w:t xml:space="preserve">Social Sciences articles, and 307514 Life Sciences articles.</w:t>
      </w:r>
      <w:r>
        <w:t xml:space="preserve"> </w:t>
      </w:r>
      <w:r>
        <w:t xml:space="preserve">Articles could be classified into multiple categories. Figure</w:t>
      </w:r>
      <w:r>
        <w:t xml:space="preserve"> </w:t>
      </w:r>
      <w:r>
        <w:t xml:space="preserve">1</w:t>
      </w:r>
      <w:r>
        <w:t xml:space="preserve"> </w:t>
      </w:r>
      <w:r>
        <w:t xml:space="preserve">shows the number of articles published across</w:t>
      </w:r>
      <w:r>
        <w:t xml:space="preserve"> </w:t>
      </w:r>
      <w:r>
        <w:t xml:space="preserve">time for each of the four large subject areas.</w:t>
      </w:r>
    </w:p>
    <w:p>
      <w:pPr>
        <w:pStyle w:val="CaptionedFigure"/>
      </w:pPr>
      <w:r>
        <w:drawing>
          <wp:inline>
            <wp:extent cx="5969000" cy="3581400"/>
            <wp:effectExtent b="0" l="0" r="0" t="0"/>
            <wp:docPr descr="Figure 1.  Number of big-team science publications separated by four large subject areas across years." title="" id="36" name="Picture"/>
            <a:graphic>
              <a:graphicData uri="http://schemas.openxmlformats.org/drawingml/2006/picture">
                <pic:pic>
                  <pic:nvPicPr>
                    <pic:cNvPr descr="manuscript_scopus_files/figure-docx/fig-pub-time-1.png" id="37" name="Picture"/>
                    <pic:cNvPicPr>
                      <a:picLocks noChangeArrowheads="1" noChangeAspect="1"/>
                    </pic:cNvPicPr>
                  </pic:nvPicPr>
                  <pic:blipFill>
                    <a:blip r:embed="rId3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pStyle w:val="Textkrper"/>
      </w:pPr>
      <w:r>
        <w:rPr>
          <w:iCs/>
          <w:i/>
        </w:rPr>
        <w:t xml:space="preserve">Number of journals</w:t>
      </w:r>
      <w:r>
        <w:t xml:space="preserve">. The number of distinct journals big team science</w:t>
      </w:r>
      <w:r>
        <w:t xml:space="preserve"> </w:t>
      </w:r>
      <w:r>
        <w:t xml:space="preserve">articles were published in was 14924 with 6559</w:t>
      </w:r>
      <w:r>
        <w:t xml:space="preserve"> </w:t>
      </w:r>
      <w:r>
        <w:t xml:space="preserve">journals in Health Sciences, 5787 journals in Physical</w:t>
      </w:r>
      <w:r>
        <w:t xml:space="preserve"> </w:t>
      </w:r>
      <w:r>
        <w:t xml:space="preserve">Sciences, 2500 journals in Social Sciences, and</w:t>
      </w:r>
      <w:r>
        <w:t xml:space="preserve"> </w:t>
      </w:r>
      <w:r>
        <w:t xml:space="preserve">4187 journals in Life Sciences. The descriptive statistics</w:t>
      </w:r>
      <w:r>
        <w:t xml:space="preserve"> </w:t>
      </w:r>
      <w:r>
        <w:t xml:space="preserve">for the Source Normalized Impact per Paper is presented the supplemental</w:t>
      </w:r>
      <w:r>
        <w:t xml:space="preserve"> </w:t>
      </w:r>
      <w:r>
        <w:t xml:space="preserve">materials with a comparison for all papers.</w:t>
      </w:r>
    </w:p>
    <w:bookmarkEnd w:id="38"/>
    <w:bookmarkStart w:id="42" w:name="rq2-publication-information."/>
    <w:p>
      <w:pPr>
        <w:pStyle w:val="berschrift2"/>
      </w:pPr>
      <w:r>
        <w:t xml:space="preserve">RQ2: Publication Information.</w:t>
      </w:r>
    </w:p>
    <w:p>
      <w:pPr>
        <w:pStyle w:val="FirstParagraph"/>
      </w:pPr>
      <w:r>
        <w:t xml:space="preserve">Publication interest area was summarized by the four large subject areas</w:t>
      </w:r>
      <w:r>
        <w:t xml:space="preserve"> </w:t>
      </w:r>
      <w:r>
        <w:t xml:space="preserve">creating a word cloud plot of the total number of publications within</w:t>
      </w:r>
      <w:r>
        <w:t xml:space="preserve"> </w:t>
      </w:r>
      <w:r>
        <w:t xml:space="preserve">the ASJCs. Figure</w:t>
      </w:r>
      <w:r>
        <w:t xml:space="preserve"> </w:t>
      </w:r>
      <w:r>
        <w:t xml:space="preserve">2</w:t>
      </w:r>
      <w:r>
        <w:t xml:space="preserve"> </w:t>
      </w:r>
      <w:r>
        <w:t xml:space="preserve">displays that the health</w:t>
      </w:r>
      <w:r>
        <w:t xml:space="preserve"> </w:t>
      </w:r>
      <w:r>
        <w:t xml:space="preserve">sciences tends to publish within medicine and oncology, with a</w:t>
      </w:r>
      <w:r>
        <w:t xml:space="preserve"> </w:t>
      </w:r>
      <w:r>
        <w:t xml:space="preserve">corresponding focus of cancer research and genetics for the life</w:t>
      </w:r>
      <w:r>
        <w:t xml:space="preserve"> </w:t>
      </w:r>
      <w:r>
        <w:t xml:space="preserve">sciences. The physical sciences is mostly dominated by physics research,</w:t>
      </w:r>
      <w:r>
        <w:t xml:space="preserve"> </w:t>
      </w:r>
      <w:r>
        <w:t xml:space="preserve">chemistry, and ecology. The BTS publications in the social sciences are</w:t>
      </w:r>
      <w:r>
        <w:t xml:space="preserve"> </w:t>
      </w:r>
      <w:r>
        <w:t xml:space="preserve">mostly within psychology, education, and health.</w:t>
      </w:r>
    </w:p>
    <w:p>
      <w:pPr>
        <w:pStyle w:val="CaptionedFigure"/>
      </w:pPr>
      <w:r>
        <w:drawing>
          <wp:inline>
            <wp:extent cx="5969000" cy="3581400"/>
            <wp:effectExtent b="0" l="0" r="0" t="0"/>
            <wp:docPr descr="Figure 2.  Journal Areas for Big-Team Science Publications by Subject Area" title="" id="40" name="Picture"/>
            <a:graphic>
              <a:graphicData uri="http://schemas.openxmlformats.org/drawingml/2006/picture">
                <pic:pic>
                  <pic:nvPicPr>
                    <pic:cNvPr descr="manuscript_scopus_files/figure-docx/fig-clouds-1.png" id="41" name="Picture"/>
                    <pic:cNvPicPr>
                      <a:picLocks noChangeArrowheads="1" noChangeAspect="1"/>
                    </pic:cNvPicPr>
                  </pic:nvPicPr>
                  <pic:blipFill>
                    <a:blip r:embed="rId39"/>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bookmarkEnd w:id="42"/>
    <w:bookmarkStart w:id="61" w:name="rq3-authors."/>
    <w:p>
      <w:pPr>
        <w:pStyle w:val="berschrift2"/>
      </w:pPr>
      <w:r>
        <w:t xml:space="preserve">RQ3: Authors.</w:t>
      </w:r>
    </w:p>
    <w:p>
      <w:pPr>
        <w:pStyle w:val="FirstParagraph"/>
      </w:pPr>
      <w:r>
        <w:t xml:space="preserve">The total number of unique authors across all publications was</w:t>
      </w:r>
      <w:r>
        <w:t xml:space="preserve"> </w:t>
      </w:r>
      <w:r>
        <w:t xml:space="preserve">510334. The mean number of authors per publication was</w:t>
      </w:r>
      <w:r>
        <w:t xml:space="preserve"> </w:t>
      </w:r>
      <w:r>
        <w:rPr>
          <w:iCs/>
          <w:i/>
        </w:rPr>
        <w:t xml:space="preserve">M</w:t>
      </w:r>
      <w:r>
        <w:t xml:space="preserve"> </w:t>
      </w:r>
      <w:r>
        <w:t xml:space="preserve">=</w:t>
      </w:r>
      <w:r>
        <w:t xml:space="preserve"> </w:t>
      </w:r>
      <w:r>
        <w:t xml:space="preserve">49.31 (</w:t>
      </w:r>
      <w:r>
        <w:rPr>
          <w:iCs/>
          <w:i/>
        </w:rPr>
        <w:t xml:space="preserve">SD</w:t>
      </w:r>
      <w:r>
        <w:t xml:space="preserve"> </w:t>
      </w:r>
      <w:r>
        <w:t xml:space="preserve">= 212.98,</w:t>
      </w:r>
      <w:r>
        <w:t xml:space="preserve"> </w:t>
      </w:r>
      <w:r>
        <w:rPr>
          <w:iCs/>
          <w:i/>
        </w:rPr>
        <w:t xml:space="preserve">Med</w:t>
      </w:r>
      <w:r>
        <w:t xml:space="preserve"> </w:t>
      </w:r>
      <w:r>
        <w:t xml:space="preserve">= 18) with a</w:t>
      </w:r>
      <w:r>
        <w:t xml:space="preserve"> </w:t>
      </w:r>
      <w:r>
        <w:t xml:space="preserve">range of 10 to 5568. The median and average</w:t>
      </w:r>
      <w:r>
        <w:t xml:space="preserve"> </w:t>
      </w:r>
      <w:r>
        <w:t xml:space="preserve">number of authors by subject area are displayed in Figure</w:t>
      </w:r>
      <w:r>
        <w:t xml:space="preserve"> </w:t>
      </w:r>
      <w:r>
        <w:t xml:space="preserve">3</w:t>
      </w:r>
      <w:r>
        <w:t xml:space="preserve">. In general, the average and median number of</w:t>
      </w:r>
      <w:r>
        <w:t xml:space="preserve"> </w:t>
      </w:r>
      <w:r>
        <w:t xml:space="preserve">authors increased over time, with the exception of the skew in the</w:t>
      </w:r>
      <w:r>
        <w:t xml:space="preserve"> </w:t>
      </w:r>
      <w:r>
        <w:t xml:space="preserve">physical sciences. Interestingly, the effect in the physical sciences</w:t>
      </w:r>
      <w:r>
        <w:t xml:space="preserve"> </w:t>
      </w:r>
      <w:r>
        <w:t xml:space="preserve">appears to be declining toward the general trends seen in other areas in</w:t>
      </w:r>
      <w:r>
        <w:t xml:space="preserve"> </w:t>
      </w:r>
      <w:r>
        <w:t xml:space="preserve">the last few decades.</w:t>
      </w:r>
    </w:p>
    <w:p>
      <w:pPr>
        <w:pStyle w:val="CaptionedFigure"/>
      </w:pPr>
      <w:r>
        <w:drawing>
          <wp:inline>
            <wp:extent cx="5969000" cy="3581400"/>
            <wp:effectExtent b="0" l="0" r="0" t="0"/>
            <wp:docPr descr="Figure 3.  Number of authors included on big-team science papers per year by subject area. Given the large skew in the data, the left panel presents the median number of authors per manuscript, and the right panel presents the average number of authors per manuscript by year." title="" id="44" name="Picture"/>
            <a:graphic>
              <a:graphicData uri="http://schemas.openxmlformats.org/drawingml/2006/picture">
                <pic:pic>
                  <pic:nvPicPr>
                    <pic:cNvPr descr="manuscript_scopus_files/figure-docx/fig-author-year-1.png" id="45" name="Picture"/>
                    <pic:cNvPicPr>
                      <a:picLocks noChangeArrowheads="1" noChangeAspect="1"/>
                    </pic:cNvPicPr>
                  </pic:nvPicPr>
                  <pic:blipFill>
                    <a:blip r:embed="rId43"/>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3: Number of authors included on big-team science papers per year by subject area. Given the large skew in the data, the left panel presents the median number of authors per manuscript, and the right panel presents the average number of authors per manuscript by year.</w:t>
      </w:r>
    </w:p>
    <w:p>
      <w:pPr>
        <w:pStyle w:val="Textkrper"/>
      </w:pPr>
      <w:r>
        <w:rPr>
          <w:iCs/>
          <w:i/>
          <w:bCs/>
          <w:b/>
        </w:rPr>
        <w:t xml:space="preserve">Career Length</w:t>
      </w:r>
      <w:r>
        <w:t xml:space="preserve">.</w:t>
      </w:r>
    </w:p>
    <w:p>
      <w:pPr>
        <w:pStyle w:val="Textkrper"/>
      </w:pPr>
      <w:r>
        <w:t xml:space="preserve">Figure</w:t>
      </w:r>
      <w:r>
        <w:t xml:space="preserve"> </w:t>
      </w:r>
      <w:r>
        <w:t xml:space="preserve">4</w:t>
      </w:r>
      <w:r>
        <w:t xml:space="preserve"> </w:t>
      </w:r>
      <w:r>
        <w:t xml:space="preserve">portrays the average career length for</w:t>
      </w:r>
      <w:r>
        <w:t xml:space="preserve"> </w:t>
      </w:r>
      <w:r>
        <w:t xml:space="preserve">authors involved in BTS publications across years. Career length was</w:t>
      </w:r>
      <w:r>
        <w:t xml:space="preserve"> </w:t>
      </w:r>
      <w:r>
        <w:t xml:space="preserve">defined as the year of first publication minus the current year, and</w:t>
      </w:r>
      <w:r>
        <w:t xml:space="preserve"> </w:t>
      </w:r>
      <w:r>
        <w:t xml:space="preserve">higher numbers mean longer careers. To analyze trends over time, we</w:t>
      </w:r>
      <w:r>
        <w:t xml:space="preserve"> </w:t>
      </w:r>
      <w:r>
        <w:t xml:space="preserve">calculated the average career length for each publication (i.e., average</w:t>
      </w:r>
      <w:r>
        <w:t xml:space="preserve"> </w:t>
      </w:r>
      <w:r>
        <w:t xml:space="preserve">author career lengths to create one score for each paper) and analyzed a</w:t>
      </w:r>
      <w:r>
        <w:t xml:space="preserve"> </w:t>
      </w:r>
      <w:r>
        <w:t xml:space="preserve">regression analysis using career length to predict year of publication.</w:t>
      </w:r>
      <w:r>
        <w:t xml:space="preserve"> </w:t>
      </w:r>
      <w:r>
        <w:t xml:space="preserve">In order to show variance between individuals, we calculated the</w:t>
      </w:r>
      <w:r>
        <w:t xml:space="preserve"> </w:t>
      </w:r>
      <w:r>
        <w:t xml:space="preserve">standard deviation of career length for each publication and used this</w:t>
      </w:r>
      <w:r>
        <w:t xml:space="preserve"> </w:t>
      </w:r>
      <w:r>
        <w:t xml:space="preserve">variance as an additional predictor.</w:t>
      </w:r>
    </w:p>
    <w:p>
      <w:pPr>
        <w:pStyle w:val="Textkrper"/>
      </w:pPr>
      <w:r>
        <w:t xml:space="preserve">Negative career length slopes would indicate more young scholars in</w:t>
      </w:r>
      <w:r>
        <w:t xml:space="preserve"> </w:t>
      </w:r>
      <w:r>
        <w:t xml:space="preserve">later years (i.e., lower average career length as time increases).</w:t>
      </w:r>
      <w:r>
        <w:t xml:space="preserve"> </w:t>
      </w:r>
      <w:r>
        <w:t xml:space="preserve">Positive career length slopes would indicate older scholars in later</w:t>
      </w:r>
      <w:r>
        <w:t xml:space="preserve"> </w:t>
      </w:r>
      <w:r>
        <w:t xml:space="preserve">years (i.e., higher average career length as time increases). Negative</w:t>
      </w:r>
      <w:r>
        <w:t xml:space="preserve"> </w:t>
      </w:r>
      <w:r>
        <w:t xml:space="preserve">career variance slopes imply that variability decreases over the years,</w:t>
      </w:r>
      <w:r>
        <w:t xml:space="preserve"> </w:t>
      </w:r>
      <w:r>
        <w:t xml:space="preserve">so the average career length is more homogeneous. Positive career length</w:t>
      </w:r>
      <w:r>
        <w:t xml:space="preserve"> </w:t>
      </w:r>
      <w:r>
        <w:t xml:space="preserve">slopes imply that variability increases over the years, so the average</w:t>
      </w:r>
      <w:r>
        <w:t xml:space="preserve"> </w:t>
      </w:r>
      <w:r>
        <w:t xml:space="preserve">career length is varied across individuals (i.e., different stages of</w:t>
      </w:r>
      <w:r>
        <w:t xml:space="preserve"> </w:t>
      </w:r>
      <w:r>
        <w:t xml:space="preserve">scholars). Figure</w:t>
      </w:r>
      <w:r>
        <w:t xml:space="preserve"> </w:t>
      </w:r>
      <w:r>
        <w:t xml:space="preserve">5</w:t>
      </w:r>
      <w:r>
        <w:t xml:space="preserve"> </w:t>
      </w:r>
      <w:r>
        <w:t xml:space="preserve">displays the results for all</w:t>
      </w:r>
      <w:r>
        <w:t xml:space="preserve"> </w:t>
      </w:r>
      <w:r>
        <w:t xml:space="preserve">regression analyses to compare coefficient strength across and within</w:t>
      </w:r>
      <w:r>
        <w:t xml:space="preserve"> </w:t>
      </w:r>
      <w:r>
        <w:t xml:space="preserve">hypothesis.</w:t>
      </w:r>
    </w:p>
    <w:p>
      <w:pPr>
        <w:pStyle w:val="Textkrper"/>
      </w:pPr>
      <w:r>
        <w:t xml:space="preserve">All values for this analyses were different from zero. The slopes for</w:t>
      </w:r>
      <w:r>
        <w:t xml:space="preserve"> </w:t>
      </w:r>
      <w:r>
        <w:t xml:space="preserve">the average career length were negative for all four subject areas,</w:t>
      </w:r>
      <w:r>
        <w:t xml:space="preserve"> </w:t>
      </w:r>
      <w:r>
        <w:t xml:space="preserve">indicating a trend toward younger scientist involvement over time for</w:t>
      </w:r>
      <w:r>
        <w:t xml:space="preserve"> </w:t>
      </w:r>
      <w:r>
        <w:t xml:space="preserve">each area, with the strongest effect in the Physical sciences. The</w:t>
      </w:r>
      <w:r>
        <w:t xml:space="preserve"> </w:t>
      </w:r>
      <w:r>
        <w:t xml:space="preserve">coefficient for variability in career length was also negative for each</w:t>
      </w:r>
      <w:r>
        <w:t xml:space="preserve"> </w:t>
      </w:r>
      <w:r>
        <w:t xml:space="preserve">of the four subject areas with the highest in the Physical sciences and</w:t>
      </w:r>
      <w:r>
        <w:t xml:space="preserve"> </w:t>
      </w:r>
      <w:r>
        <w:t xml:space="preserve">lowest in the Life Sciences. This result indicates a decrease in the</w:t>
      </w:r>
      <w:r>
        <w:t xml:space="preserve"> </w:t>
      </w:r>
      <w:r>
        <w:t xml:space="preserve">variability of career lengths over time, likely from two sources: 1)</w:t>
      </w:r>
      <w:r>
        <w:t xml:space="preserve"> </w:t>
      </w:r>
      <w:r>
        <w:t xml:space="preserve">more publications with more authors, thus, lowering variance</w:t>
      </w:r>
      <w:r>
        <w:t xml:space="preserve"> </w:t>
      </w:r>
      <w:r>
        <w:t xml:space="preserve">estimations, and 2) more young scholars overall. The effect sizes for</w:t>
      </w:r>
      <w:r>
        <w:t xml:space="preserve"> </w:t>
      </w:r>
      <w:r>
        <w:t xml:space="preserve">this analysis were surprisingly large ranging from</w:t>
      </w:r>
      <w:r>
        <w:t xml:space="preserve"> </w:t>
      </w:r>
      <m:oMath>
        <m:sSup>
          <m:e>
            <m:r>
              <m:t>R</m:t>
            </m:r>
          </m:e>
          <m:sup>
            <m:r>
              <m:t>2</m:t>
            </m:r>
          </m:sup>
        </m:sSup>
      </m:oMath>
      <w:r>
        <w:t xml:space="preserve"> </w:t>
      </w:r>
      <w:r>
        <w:t xml:space="preserve">to .25 to .47.</w:t>
      </w:r>
      <w:r>
        <w:t xml:space="preserve"> </w:t>
      </w:r>
      <w:r>
        <w:t xml:space="preserve">All values and their confidence intervals can be found on our OSF page.</w:t>
      </w:r>
    </w:p>
    <w:p>
      <w:pPr>
        <w:pStyle w:val="CaptionedFigure"/>
      </w:pPr>
      <w:r>
        <w:drawing>
          <wp:inline>
            <wp:extent cx="5969000" cy="3581400"/>
            <wp:effectExtent b="0" l="0" r="0" t="0"/>
            <wp:docPr descr="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 title="" id="47" name="Picture"/>
            <a:graphic>
              <a:graphicData uri="http://schemas.openxmlformats.org/drawingml/2006/picture">
                <pic:pic>
                  <pic:nvPicPr>
                    <pic:cNvPr descr="manuscript_scopus_files/figure-docx/fig-career-1.png" id="48" name="Picture"/>
                    <pic:cNvPicPr>
                      <a:picLocks noChangeArrowheads="1" noChangeAspect="1"/>
                    </pic:cNvPicPr>
                  </pic:nvPicPr>
                  <pic:blipFill>
                    <a:blip r:embed="rId4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CaptionedFigure"/>
      </w:pPr>
      <w:r>
        <w:drawing>
          <wp:inline>
            <wp:extent cx="5969000" cy="3581400"/>
            <wp:effectExtent b="0" l="0" r="0" t="0"/>
            <wp:docPr descr="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 title="" id="50" name="Picture"/>
            <a:graphic>
              <a:graphicData uri="http://schemas.openxmlformats.org/drawingml/2006/picture">
                <pic:pic>
                  <pic:nvPicPr>
                    <pic:cNvPr descr="manuscript_scopus_files/figure-docx/fig-heatmap-1.png" id="51" name="Picture"/>
                    <pic:cNvPicPr>
                      <a:picLocks noChangeArrowheads="1" noChangeAspect="1"/>
                    </pic:cNvPicPr>
                  </pic:nvPicPr>
                  <pic:blipFill>
                    <a:blip r:embed="rId49"/>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FirstParagraph"/>
      </w:pPr>
      <w:r>
        <w:rPr>
          <w:iCs/>
          <w:i/>
          <w:bCs/>
          <w:b/>
        </w:rPr>
        <w:t xml:space="preserve">Institution</w:t>
      </w:r>
      <w:r>
        <w:t xml:space="preserve">.</w:t>
      </w:r>
    </w:p>
    <w:p>
      <w:pPr>
        <w:pStyle w:val="Textkrper"/>
      </w:pPr>
      <w:r>
        <w:t xml:space="preserve">The total number of unique affiliation across all papers was 463876.</w:t>
      </w:r>
    </w:p>
    <w:p>
      <w:pPr>
        <w:pStyle w:val="Textkrper"/>
      </w:pPr>
      <w:r>
        <w:rPr>
          <w:iCs/>
          <w:i/>
          <w:bCs/>
          <w:b/>
        </w:rPr>
        <w:t xml:space="preserve">Publication Metrics</w:t>
      </w:r>
      <w:r>
        <w:t xml:space="preserve">.</w:t>
      </w:r>
    </w:p>
    <w:p>
      <w:pPr>
        <w:pStyle w:val="Textkrper"/>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pStyle w:val="Textkrper"/>
      </w:pPr>
      <w:r>
        <w:t xml:space="preserve">We used the same analyses described in the career length section to</w:t>
      </w:r>
      <w:r>
        <w:t xml:space="preserve"> </w:t>
      </w:r>
      <w:r>
        <w:t xml:space="preserve">analyze trends over time. An increasing slope over time indicates that</w:t>
      </w:r>
      <w:r>
        <w:t xml:space="preserve"> </w:t>
      </w:r>
      <w:r>
        <w:t xml:space="preserve">individuals who are publishing more are more represented in BTS over</w:t>
      </w:r>
      <w:r>
        <w:t xml:space="preserve"> </w:t>
      </w:r>
      <w:r>
        <w:t xml:space="preserve">time (i.e., increasing numbers of scholars with higher publication</w:t>
      </w:r>
      <w:r>
        <w:t xml:space="preserve"> </w:t>
      </w:r>
      <w:r>
        <w:t xml:space="preserve">rates), while a negative slope indicates more researchers with less</w:t>
      </w:r>
      <w:r>
        <w:t xml:space="preserve"> </w:t>
      </w:r>
      <w:r>
        <w:t xml:space="preserve">publications. A positive slope for the standard deviation of publication</w:t>
      </w:r>
      <w:r>
        <w:t xml:space="preserve"> </w:t>
      </w:r>
      <w:r>
        <w:t xml:space="preserve">metrics indicates increasing variance over time (i.e., more diversity in</w:t>
      </w:r>
      <w:r>
        <w:t xml:space="preserve"> </w:t>
      </w:r>
      <w:r>
        <w:t xml:space="preserve">the individual publication rates), while a negative slope would indicate</w:t>
      </w:r>
      <w:r>
        <w:t xml:space="preserve"> </w:t>
      </w:r>
      <w:r>
        <w:t xml:space="preserve">less diversity in researchers over time. While publication rates do not</w:t>
      </w:r>
      <w:r>
        <w:t xml:space="preserve"> </w:t>
      </w:r>
      <w:r>
        <w:t xml:space="preserve">represent value as a researcher, they are often used in hiring and</w:t>
      </w:r>
      <w:r>
        <w:t xml:space="preserve"> </w:t>
      </w:r>
      <w:r>
        <w:t xml:space="preserve">promotion decisions, and we used this variable as a proxy to gauge the</w:t>
      </w:r>
      <w:r>
        <w:t xml:space="preserve"> </w:t>
      </w:r>
      <w:r>
        <w:t xml:space="preserve">diversity in scholars represented in big teams. As shown in Figure</w:t>
      </w:r>
      <w:r>
        <w:t xml:space="preserve"> </w:t>
      </w:r>
      <w:r>
        <w:t xml:space="preserve">5</w:t>
      </w:r>
      <w:r>
        <w:t xml:space="preserve"> </w:t>
      </w:r>
      <w:r>
        <w:t xml:space="preserve">publication metrics were generally negative for</w:t>
      </w:r>
      <w:r>
        <w:t xml:space="preserve"> </w:t>
      </w:r>
      <w:r>
        <w:t xml:space="preserve">the average publication metrics, indicating more scholars over time with</w:t>
      </w:r>
      <w:r>
        <w:t xml:space="preserve"> </w:t>
      </w:r>
      <w:r>
        <w:t xml:space="preserve">lower numbers of publications with the strongest effects in health and</w:t>
      </w:r>
      <w:r>
        <w:t xml:space="preserve"> </w:t>
      </w:r>
      <w:r>
        <w:t xml:space="preserve">social sciences. The variability of publication counts was not</w:t>
      </w:r>
      <w:r>
        <w:t xml:space="preserve"> </w:t>
      </w:r>
      <w:r>
        <w:t xml:space="preserve">significant for the life sciences but was negative for the physical</w:t>
      </w:r>
      <w:r>
        <w:t xml:space="preserve"> </w:t>
      </w:r>
      <w:r>
        <w:t xml:space="preserve">sciences (less variability over time) and positive for social and health</w:t>
      </w:r>
      <w:r>
        <w:t xml:space="preserve"> </w:t>
      </w:r>
      <w:r>
        <w:t xml:space="preserve">sciences (more variability and over time). This result indicates that</w:t>
      </w:r>
      <w:r>
        <w:t xml:space="preserve"> </w:t>
      </w:r>
      <w:r>
        <w:t xml:space="preserve">the physical sciences are trending toward scholars with less</w:t>
      </w:r>
      <w:r>
        <w:t xml:space="preserve"> </w:t>
      </w:r>
      <w:r>
        <w:t xml:space="preserve">publications but also less diverse in number of publications, while the</w:t>
      </w:r>
      <w:r>
        <w:t xml:space="preserve"> </w:t>
      </w:r>
      <w:r>
        <w:t xml:space="preserve">health and social sciences see more diversity in publication counts and</w:t>
      </w:r>
      <w:r>
        <w:t xml:space="preserve"> </w:t>
      </w:r>
      <w:r>
        <w:t xml:space="preserve">less published scholars overall.</w:t>
      </w:r>
    </w:p>
    <w:p>
      <w:pPr>
        <w:pStyle w:val="Textkrper"/>
      </w:pPr>
      <w:r>
        <w:rPr>
          <w:iCs/>
          <w:i/>
          <w:bCs/>
          <w:b/>
        </w:rPr>
        <w:t xml:space="preserve">Geopolitical Regions</w:t>
      </w:r>
      <w:r>
        <w:t xml:space="preserve">.</w:t>
      </w:r>
    </w:p>
    <w:p>
      <w:pPr>
        <w:pStyle w:val="CaptionedFigure"/>
      </w:pPr>
      <w:r>
        <w:drawing>
          <wp:inline>
            <wp:extent cx="5969000" cy="3581400"/>
            <wp:effectExtent b="0" l="0" r="0" t="0"/>
            <wp:docPr descr="Figure 6.  Geopolitical regions represented in big-team science publications versus all publications." title="" id="53" name="Picture"/>
            <a:graphic>
              <a:graphicData uri="http://schemas.openxmlformats.org/drawingml/2006/picture">
                <pic:pic>
                  <pic:nvPicPr>
                    <pic:cNvPr descr="manuscript_scopus_files/figure-docx/fig-map-both-1.png" id="54" name="Picture"/>
                    <pic:cNvPicPr>
                      <a:picLocks noChangeArrowheads="1" noChangeAspect="1"/>
                    </pic:cNvPicPr>
                  </pic:nvPicPr>
                  <pic:blipFill>
                    <a:blip r:embed="rId52"/>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6: Geopolitical regions represented in big-team science publications versus all publications.</w:t>
      </w:r>
    </w:p>
    <w:p>
      <w:pPr>
        <w:pStyle w:val="Textkrper"/>
      </w:pPr>
      <w:r>
        <w:t xml:space="preserve">Author geopolitical region is displayed in Figure</w:t>
      </w:r>
      <w:r>
        <w:t xml:space="preserve"> </w:t>
      </w:r>
      <w:r>
        <w:t xml:space="preserve">6</w:t>
      </w:r>
      <w:r>
        <w:t xml:space="preserve">. Big team publications appear to be lead by</w:t>
      </w:r>
      <w:r>
        <w:t xml:space="preserve"> </w:t>
      </w:r>
      <w:r>
        <w:t xml:space="preserve">North America and Western Europe, while all publications are lead by</w:t>
      </w:r>
      <w:r>
        <w:t xml:space="preserve"> </w:t>
      </w:r>
      <w:r>
        <w:t xml:space="preserve">North America and East Asia. To understand the change in representation</w:t>
      </w:r>
      <w:r>
        <w:t xml:space="preserve"> </w:t>
      </w:r>
      <w:r>
        <w:t xml:space="preserve">diversity, we examined if the number of regions in a publication is</w:t>
      </w:r>
      <w:r>
        <w:t xml:space="preserve"> </w:t>
      </w:r>
      <w:r>
        <w:t xml:space="preserve">predicted by the year of publication. Increasing diversity would be</w:t>
      </w:r>
      <w:r>
        <w:t xml:space="preserve"> </w:t>
      </w:r>
      <w:r>
        <w:t xml:space="preserve">represented by a positive slope, while decreasing diversity would be</w:t>
      </w:r>
      <w:r>
        <w:t xml:space="preserve"> </w:t>
      </w:r>
      <w:r>
        <w:t xml:space="preserve">represented by a negative slope. As shown in Figure</w:t>
      </w:r>
      <w:r>
        <w:t xml:space="preserve"> </w:t>
      </w:r>
      <w:r>
        <w:t xml:space="preserve">5</w:t>
      </w:r>
      <w:r>
        <w:t xml:space="preserve">, the physical sciences do not show a trend of</w:t>
      </w:r>
      <w:r>
        <w:t xml:space="preserve"> </w:t>
      </w:r>
      <w:r>
        <w:t xml:space="preserve">change in representation, while all other sciences showed a positive</w:t>
      </w:r>
      <w:r>
        <w:t xml:space="preserve"> </w:t>
      </w:r>
      <w:r>
        <w:t xml:space="preserve">effect increasing in the number of geopolitical regions authors</w:t>
      </w:r>
      <w:r>
        <w:t xml:space="preserve"> </w:t>
      </w:r>
      <w:r>
        <w:t xml:space="preserve">represent on publications.</w:t>
      </w:r>
    </w:p>
    <w:p>
      <w:pPr>
        <w:pStyle w:val="Textkrper"/>
      </w:pPr>
      <w:r>
        <w:t xml:space="preserve">Last, we examined the differences in representation for corresponding</w:t>
      </w:r>
      <w:r>
        <w:t xml:space="preserve"> </w:t>
      </w:r>
      <w:r>
        <w:t xml:space="preserve">author sets versus all other authors. For papers with 10 to 49 authors,</w:t>
      </w:r>
      <w:r>
        <w:t xml:space="preserve"> </w:t>
      </w:r>
      <w:r>
        <w:t xml:space="preserve">we used the three first authors and the last author to compare against</w:t>
      </w:r>
      <w:r>
        <w:t xml:space="preserve"> </w:t>
      </w:r>
      <w:r>
        <w:t xml:space="preserve">other authors. For 50 to 99 authors, five first authors plus last were</w:t>
      </w:r>
      <w:r>
        <w:t xml:space="preserve"> </w:t>
      </w:r>
      <w:r>
        <w:t xml:space="preserve">used, and for all papers with more than 100 authors, we used ten first</w:t>
      </w:r>
      <w:r>
        <w:t xml:space="preserve"> </w:t>
      </w:r>
      <w:r>
        <w:t xml:space="preserve">authors and the last author as the corresponding author set. We then</w:t>
      </w:r>
      <w:r>
        <w:t xml:space="preserve"> </w:t>
      </w:r>
      <w:r>
        <w:t xml:space="preserve">calculated the frequencies of each of the UN Sub-Regions for</w:t>
      </w:r>
      <w:r>
        <w:t xml:space="preserve"> </w:t>
      </w:r>
      <w:r>
        <w:t xml:space="preserve">corresponding authors versus all other authors, converting these values</w:t>
      </w:r>
      <w:r>
        <w:t xml:space="preserve"> </w:t>
      </w:r>
      <w:r>
        <w:t xml:space="preserve">to proportions. Given the expected small sample sizes of these</w:t>
      </w:r>
      <w:r>
        <w:t xml:space="preserve"> </w:t>
      </w:r>
      <w:r>
        <w:t xml:space="preserve">contingency tables, we grouped together titles based on the year of</w:t>
      </w:r>
      <w:r>
        <w:t xml:space="preserve"> </w:t>
      </w:r>
      <w:r>
        <w:t xml:space="preserve">publication. For each grouping, we then calculated the effect size of</w:t>
      </w:r>
      <w:r>
        <w:t xml:space="preserve"> </w:t>
      </w:r>
      <w:r>
        <w:t xml:space="preserve">the differences in frequencies comparing corresponding authors to all</w:t>
      </w:r>
      <w:r>
        <w:t xml:space="preserve"> </w:t>
      </w:r>
      <w:r>
        <w:t xml:space="preserve">other authors. Since this data is categorical, we used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(to four decimal places), this result will imply</w:t>
      </w:r>
      <w:r>
        <w:t xml:space="preserve"> </w:t>
      </w:r>
      <w:r>
        <w:t xml:space="preserve">that first and all other authors represent the same pattern of UN</w:t>
      </w:r>
      <w:r>
        <w:t xml:space="preserve"> </w:t>
      </w:r>
      <w:r>
        <w:t xml:space="preserve">Sub-Region diversity. Any confidence interval that does include zero</w:t>
      </w:r>
      <w:r>
        <w:t xml:space="preserve"> </w:t>
      </w:r>
      <w:r>
        <w:t xml:space="preserve">represents a difference in diversity.</w:t>
      </w:r>
    </w:p>
    <w:p>
      <w:pPr>
        <w:pStyle w:val="CaptionedFigure"/>
      </w:pPr>
      <w:r>
        <w:drawing>
          <wp:inline>
            <wp:extent cx="5969000" cy="3581400"/>
            <wp:effectExtent b="0" l="0" r="0" t="0"/>
            <wp:docPr descr="Figure 7.  A comparison of author affiliation geopolitical region across decades. F stands for first authors and O stands for other authors." title="" id="56" name="Picture"/>
            <a:graphic>
              <a:graphicData uri="http://schemas.openxmlformats.org/drawingml/2006/picture">
                <pic:pic>
                  <pic:nvPicPr>
                    <pic:cNvPr descr="manuscript_scopus_files/figure-docx/fig-author-gpe-1.png" id="57" name="Picture"/>
                    <pic:cNvPicPr>
                      <a:picLocks noChangeArrowheads="1" noChangeAspect="1"/>
                    </pic:cNvPicPr>
                  </pic:nvPicPr>
                  <pic:blipFill>
                    <a:blip r:embed="rId55"/>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7: A comparison of author affiliation geopolitical region across decades. F stands for first authors and O stands for other authors.</w:t>
      </w:r>
    </w:p>
    <w:p>
      <w:pPr>
        <w:pStyle w:val="CaptionedFigure"/>
      </w:pPr>
      <w:r>
        <w:drawing>
          <wp:inline>
            <wp:extent cx="5969000" cy="3581400"/>
            <wp:effectExtent b="0" l="0" r="0" t="0"/>
            <wp:docPr descr="Figure 8.  Effect size of the differences in representation for UN Regions for author affiliations in big-team science papers by year. Larger dots indicate more papers and authors represented in the calculation of effect size." title="" id="59" name="Picture"/>
            <a:graphic>
              <a:graphicData uri="http://schemas.openxmlformats.org/drawingml/2006/picture">
                <pic:pic>
                  <pic:nvPicPr>
                    <pic:cNvPr descr="manuscript_scopus_files/figure-docx/fig-effect-gpe-1.png" id="60" name="Picture"/>
                    <pic:cNvPicPr>
                      <a:picLocks noChangeArrowheads="1" noChangeAspect="1"/>
                    </pic:cNvPicPr>
                  </pic:nvPicPr>
                  <pic:blipFill>
                    <a:blip r:embed="rId5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8: Effect size of the differences in representation for UN Regions for author affiliations in big-team science papers by year. Larger dots indicate more papers and authors represented in the calculation of effect size.</w:t>
      </w:r>
    </w:p>
    <w:p>
      <w:pPr>
        <w:pStyle w:val="Textkrper"/>
      </w:pPr>
      <w:r>
        <w:t xml:space="preserve">Figure</w:t>
      </w:r>
      <w:r>
        <w:t xml:space="preserve"> </w:t>
      </w:r>
      <w:r>
        <w:t xml:space="preserve">7</w:t>
      </w:r>
      <w:r>
        <w:t xml:space="preserve"> </w:t>
      </w:r>
      <w:r>
        <w:t xml:space="preserve">indicates the percent of authors in</w:t>
      </w:r>
      <w:r>
        <w:t xml:space="preserve"> </w:t>
      </w:r>
      <w:r>
        <w:t xml:space="preserve">regions. In general, we found the same pattern as the overall analysis</w:t>
      </w:r>
      <w:r>
        <w:t xml:space="preserve"> </w:t>
      </w:r>
      <w:r>
        <w:t xml:space="preserve">wherein most authors are from Europe and North America. The pattern of</w:t>
      </w:r>
      <w:r>
        <w:t xml:space="preserve"> </w:t>
      </w:r>
      <w:r>
        <w:t xml:space="preserve">representation is roughly similar for the separation of small, medium,</w:t>
      </w:r>
      <w:r>
        <w:t xml:space="preserve"> </w:t>
      </w:r>
      <w:r>
        <w:t xml:space="preserve">and large numbers of authors on papers. Across time, the representation</w:t>
      </w:r>
      <w:r>
        <w:t xml:space="preserve"> </w:t>
      </w:r>
      <w:r>
        <w:t xml:space="preserve">does appear to diversify, with more representation in Asia, Latin</w:t>
      </w:r>
      <w:r>
        <w:t xml:space="preserve"> </w:t>
      </w:r>
      <w:r>
        <w:t xml:space="preserve">American, and Africa. Figure</w:t>
      </w:r>
      <w:r>
        <w:t xml:space="preserve"> </w:t>
      </w:r>
      <w:r>
        <w:t xml:space="preserve">8</w:t>
      </w:r>
      <w:r>
        <w:t xml:space="preserve"> </w:t>
      </w:r>
      <w:r>
        <w:t xml:space="preserve">represents the</w:t>
      </w:r>
      <w:r>
        <w:t xml:space="preserve"> </w:t>
      </w:r>
      <w:r>
        <w:t xml:space="preserve">size of the differences in first/corresponding authors and other authors</w:t>
      </w:r>
      <w:r>
        <w:t xml:space="preserve"> </w:t>
      </w:r>
      <w:r>
        <w:t xml:space="preserve">across time and number of authors. The differences in representation are</w:t>
      </w:r>
      <w:r>
        <w:t xml:space="preserve"> </w:t>
      </w:r>
      <w:r>
        <w:t xml:space="preserve">larger for papers with more authors; however, the effects are non-zero</w:t>
      </w:r>
      <w:r>
        <w:t xml:space="preserve"> </w:t>
      </w:r>
      <w:r>
        <w:t xml:space="preserve">for many of the comparisons. Encouragingly, over time these effects</w:t>
      </w:r>
      <w:r>
        <w:t xml:space="preserve"> </w:t>
      </w:r>
      <w:r>
        <w:t xml:space="preserve">appear to diminish in size. One limitation with the calculation of</w:t>
      </w:r>
      <w:r>
        <w:t xml:space="preserve"> </w:t>
      </w:r>
      <w:r>
        <w:t xml:space="preserve">effect sizes for count data is the sensitivity of the data to sample</w:t>
      </w:r>
      <w:r>
        <w:t xml:space="preserve"> </w:t>
      </w:r>
      <w:r>
        <w:t xml:space="preserve">size (i.e.,</w:t>
      </w:r>
      <w:r>
        <w:t xml:space="preserve"> </w:t>
      </w:r>
      <m:oMath>
        <m:sSup>
          <m:e>
            <m:r>
              <m:t>χ</m:t>
            </m:r>
          </m:e>
          <m:sup>
            <m:r>
              <m:t>2</m:t>
            </m:r>
          </m:sup>
        </m:sSup>
      </m:oMath>
      <w:r>
        <w:t xml:space="preserve"> </w:t>
      </w:r>
      <w:r>
        <w:t xml:space="preserve">is upwardly biased by sample size, and</w:t>
      </w:r>
      <w:r>
        <w:t xml:space="preserve"> </w:t>
      </w:r>
      <m:oMath>
        <m:r>
          <m:t>V</m:t>
        </m:r>
      </m:oMath>
      <w:r>
        <w:t xml:space="preserve"> </w:t>
      </w:r>
      <w:r>
        <w:t xml:space="preserve">is</w:t>
      </w:r>
      <w:r>
        <w:t xml:space="preserve"> </w:t>
      </w:r>
      <w:r>
        <w:t xml:space="preserve">calculated based on this value). While we used the inclusion of zero as</w:t>
      </w:r>
      <w:r>
        <w:t xml:space="preserve"> </w:t>
      </w:r>
      <w:r>
        <w:t xml:space="preserve">our boundary for</w:t>
      </w:r>
      <w:r>
        <w:t xml:space="preserve"> </w:t>
      </w:r>
      <w:r>
        <w:t xml:space="preserve">“</w:t>
      </w:r>
      <w:r>
        <w:t xml:space="preserve">significance</w:t>
      </w:r>
      <w:r>
        <w:t xml:space="preserve">”</w:t>
      </w:r>
      <w:r>
        <w:t xml:space="preserve">, the interpretation of the effects is</w:t>
      </w:r>
      <w:r>
        <w:t xml:space="preserve"> </w:t>
      </w:r>
      <w:r>
        <w:t xml:space="preserve">that most are likely small:</w:t>
      </w:r>
      <w:r>
        <w:t xml:space="preserve"> </w:t>
      </w:r>
      <m:oMath>
        <m:r>
          <m:t>V</m:t>
        </m:r>
      </m:oMath>
      <w:r>
        <w:t xml:space="preserve"> </w:t>
      </w:r>
      <w:r>
        <w:t xml:space="preserve">&lt; .05:</w:t>
      </w:r>
      <w:r>
        <w:t xml:space="preserve"> </w:t>
      </w:r>
      <w:r>
        <w:t xml:space="preserve">31.79%, &lt; .10:</w:t>
      </w:r>
      <w:r>
        <w:t xml:space="preserve"> </w:t>
      </w:r>
      <w:r>
        <w:t xml:space="preserve">70.20%, &lt; .20:</w:t>
      </w:r>
      <w:r>
        <w:t xml:space="preserve"> </w:t>
      </w:r>
      <w:r>
        <w:t xml:space="preserve">94.04%.</w:t>
      </w:r>
    </w:p>
    <w:bookmarkEnd w:id="61"/>
    <w:bookmarkEnd w:id="62"/>
    <w:bookmarkStart w:id="63" w:name="discussion"/>
    <w:p>
      <w:pPr>
        <w:pStyle w:val="berschrift1"/>
      </w:pPr>
      <w:r>
        <w:t xml:space="preserve">Discussion</w:t>
      </w:r>
    </w:p>
    <w:p>
      <w:pPr>
        <w:pStyle w:val="FirstParagraph"/>
      </w:pPr>
      <w:r>
        <w:t xml:space="preserve">In this investigation, we explored the publication rates, areas, and</w:t>
      </w:r>
      <w:r>
        <w:t xml:space="preserve"> </w:t>
      </w:r>
      <w:r>
        <w:t xml:space="preserve">researchers involved in big team science publications. Over a</w:t>
      </w:r>
      <w:r>
        <w:t xml:space="preserve"> </w:t>
      </w:r>
      <w:r>
        <w:t xml:space="preserve">half-million articles were published in nearly 15,000 journals since</w:t>
      </w:r>
      <w:r>
        <w:t xml:space="preserve"> </w:t>
      </w:r>
      <w:r>
        <w:t xml:space="preserve">1970 that qualified as big team science articles with at least ten</w:t>
      </w:r>
      <w:r>
        <w:t xml:space="preserve"> </w:t>
      </w:r>
      <w:r>
        <w:t xml:space="preserve">authors and ten different affiliations. The areas of publication aligned</w:t>
      </w:r>
      <w:r>
        <w:t xml:space="preserve"> </w:t>
      </w:r>
      <w:r>
        <w:t xml:space="preserve">to cancer and genetics research in medicine and oncology for medical and</w:t>
      </w:r>
      <w:r>
        <w:t xml:space="preserve"> </w:t>
      </w:r>
      <w:r>
        <w:t xml:space="preserve">life sciences, physics and chemistry for the physical sciences, and</w:t>
      </w:r>
      <w:r>
        <w:t xml:space="preserve"> </w:t>
      </w:r>
      <w:r>
        <w:t xml:space="preserve">psychology for the social sciences. All areas of research show an</w:t>
      </w:r>
      <w:r>
        <w:t xml:space="preserve"> </w:t>
      </w:r>
      <w:r>
        <w:t xml:space="preserve">explosion in growth in the number of publications and the number of</w:t>
      </w:r>
      <w:r>
        <w:t xml:space="preserve"> </w:t>
      </w:r>
      <w:r>
        <w:t xml:space="preserve">author included on manuscripts, replicating previous investigations into</w:t>
      </w:r>
      <w:r>
        <w:t xml:space="preserve"> </w:t>
      </w:r>
      <w:r>
        <w:t xml:space="preserve">this topic area</w:t>
      </w:r>
      <w:r>
        <w:t xml:space="preserve"> </w:t>
      </w:r>
      <w:r>
        <w:t xml:space="preserve">(Hunter &amp; Leahey, 2008; Sinatra, Deville, Szell, Wang, &amp; Barabási, 2015; Wuchty, Jones, &amp; Uzzi, 2007)</w:t>
      </w:r>
      <w:r>
        <w:t xml:space="preserve">.</w:t>
      </w:r>
    </w:p>
    <w:p>
      <w:pPr>
        <w:pStyle w:val="Textkrper"/>
      </w:pPr>
      <w:r>
        <w:t xml:space="preserve">Our investigation expands into an exploration of the researchers who</w:t>
      </w:r>
      <w:r>
        <w:t xml:space="preserve"> </w:t>
      </w:r>
      <w:r>
        <w:t xml:space="preserve">publish in big teams focusing on career length, publication metrics, and</w:t>
      </w:r>
      <w:r>
        <w:t xml:space="preserve"> </w:t>
      </w:r>
      <w:r>
        <w:t xml:space="preserve">geopolitical affiliation. The number of earlier career scholars is</w:t>
      </w:r>
      <w:r>
        <w:t xml:space="preserve"> </w:t>
      </w:r>
      <w:r>
        <w:t xml:space="preserve">increasing in publications across the years, indicating that big teams</w:t>
      </w:r>
      <w:r>
        <w:t xml:space="preserve"> </w:t>
      </w:r>
      <w:r>
        <w:t xml:space="preserve">may be more accessible to different types of individuals, not just</w:t>
      </w:r>
      <w:r>
        <w:t xml:space="preserve"> </w:t>
      </w:r>
      <w:r>
        <w:t xml:space="preserve">older, more established researchers. This result is especially</w:t>
      </w:r>
      <w:r>
        <w:t xml:space="preserve"> </w:t>
      </w:r>
      <w:r>
        <w:t xml:space="preserve">interesting given the publish-or-perish model still present in most</w:t>
      </w:r>
      <w:r>
        <w:t xml:space="preserve"> </w:t>
      </w:r>
      <w:r>
        <w:t xml:space="preserve">institutions, as it may seem that large-scale projects could be a risky</w:t>
      </w:r>
      <w:r>
        <w:t xml:space="preserve"> </w:t>
      </w:r>
      <w:r>
        <w:t xml:space="preserve">choice for non-permanent researchers. In the authors’ experience, big</w:t>
      </w:r>
      <w:r>
        <w:t xml:space="preserve"> </w:t>
      </w:r>
      <w:r>
        <w:t xml:space="preserve">team projects are often quite slow to publication, incentives may be low</w:t>
      </w:r>
      <w:r>
        <w:t xml:space="preserve"> </w:t>
      </w:r>
      <w:r>
        <w:t xml:space="preserve">for non corresponding authors if institutions do not value papers</w:t>
      </w:r>
      <w:r>
        <w:t xml:space="preserve"> </w:t>
      </w:r>
      <w:r>
        <w:t xml:space="preserve">without lead authorship, and there is no guarantee for publication even</w:t>
      </w:r>
      <w:r>
        <w:t xml:space="preserve"> </w:t>
      </w:r>
      <w:r>
        <w:t xml:space="preserve">with a large group. However, with a large team the distribution of work</w:t>
      </w:r>
      <w:r>
        <w:t xml:space="preserve"> </w:t>
      </w:r>
      <w:r>
        <w:t xml:space="preserve">could imply less effort on individual non-leading members, and research</w:t>
      </w:r>
      <w:r>
        <w:t xml:space="preserve"> </w:t>
      </w:r>
      <w:r>
        <w:t xml:space="preserve">has shown that larger-team publications do receive more citations and</w:t>
      </w:r>
      <w:r>
        <w:t xml:space="preserve"> </w:t>
      </w:r>
      <w:r>
        <w:t xml:space="preserve">appear to have higher impact</w:t>
      </w:r>
      <w:r>
        <w:t xml:space="preserve"> </w:t>
      </w:r>
      <w:r>
        <w:t xml:space="preserve">(Larivière, Gingras, Sugimoto, &amp; Tsou, 2015)</w:t>
      </w:r>
      <w:r>
        <w:t xml:space="preserve">.</w:t>
      </w:r>
    </w:p>
    <w:p>
      <w:pPr>
        <w:pStyle w:val="Textkrper"/>
      </w:pPr>
      <w:r>
        <w:t xml:space="preserve">The results for number of publications by big team researchers mimics</w:t>
      </w:r>
      <w:r>
        <w:t xml:space="preserve"> </w:t>
      </w:r>
      <w:r>
        <w:t xml:space="preserve">the findings from career length, with a smaller effect size. In general,</w:t>
      </w:r>
      <w:r>
        <w:t xml:space="preserve"> </w:t>
      </w:r>
      <w:r>
        <w:t xml:space="preserve">it appears that there is a decrease in the average number of</w:t>
      </w:r>
      <w:r>
        <w:t xml:space="preserve"> </w:t>
      </w:r>
      <w:r>
        <w:t xml:space="preserve">publications a researcher has when publishing on a big team science</w:t>
      </w:r>
      <w:r>
        <w:t xml:space="preserve"> </w:t>
      </w:r>
      <w:r>
        <w:t xml:space="preserve">paper over time. This result is likely attributable to the number of</w:t>
      </w:r>
      <w:r>
        <w:t xml:space="preserve"> </w:t>
      </w:r>
      <w:r>
        <w:t xml:space="preserve">early career scholars joining projects, but also may support increased</w:t>
      </w:r>
      <w:r>
        <w:t xml:space="preserve"> </w:t>
      </w:r>
      <w:r>
        <w:t xml:space="preserve">accessibility for individuals to be involved in this type of research.</w:t>
      </w:r>
      <w:r>
        <w:t xml:space="preserve"> </w:t>
      </w:r>
      <w:r>
        <w:t xml:space="preserve">Globalization, the internet, and the focus on interdisciplinary research</w:t>
      </w:r>
      <w:r>
        <w:t xml:space="preserve"> </w:t>
      </w:r>
      <w:r>
        <w:t xml:space="preserve">are potentially driving forces behind our results, but, hopefully, the</w:t>
      </w:r>
      <w:r>
        <w:t xml:space="preserve"> </w:t>
      </w:r>
      <w:r>
        <w:t xml:space="preserve">results also point to a decline in scientific gatekeeping</w:t>
      </w:r>
      <w:r>
        <w:t xml:space="preserve"> </w:t>
      </w:r>
      <w:r>
        <w:t xml:space="preserve">(Lu, 2007; Siler, Lee, &amp; Bero, 2015)</w:t>
      </w:r>
      <w:r>
        <w:t xml:space="preserve">.</w:t>
      </w:r>
    </w:p>
    <w:p>
      <w:pPr>
        <w:pStyle w:val="Textkrper"/>
      </w:pPr>
      <w:r>
        <w:t xml:space="preserve">The variability in the types of researchers involved in publications</w:t>
      </w:r>
      <w:r>
        <w:t xml:space="preserve"> </w:t>
      </w:r>
      <w:r>
        <w:t xml:space="preserve">also decreased across time in most areas of science with a decrease in</w:t>
      </w:r>
      <w:r>
        <w:t xml:space="preserve"> </w:t>
      </w:r>
      <w:r>
        <w:t xml:space="preserve">variability for career length. As mention, an increase in early career</w:t>
      </w:r>
      <w:r>
        <w:t xml:space="preserve"> </w:t>
      </w:r>
      <w:r>
        <w:t xml:space="preserve">researchers and numbers of publications could explain this effect</w:t>
      </w:r>
      <w:r>
        <w:t xml:space="preserve"> </w:t>
      </w:r>
      <w:r>
        <w:t xml:space="preserve">mathematically, potentially with other social influences mentioned</w:t>
      </w:r>
      <w:r>
        <w:t xml:space="preserve"> </w:t>
      </w:r>
      <w:r>
        <w:t xml:space="preserve">above. The variability in number of publications is decreasing in the</w:t>
      </w:r>
      <w:r>
        <w:t xml:space="preserve"> </w:t>
      </w:r>
      <w:r>
        <w:t xml:space="preserve">physical sciences, mirroring the career length results, but the opposite</w:t>
      </w:r>
      <w:r>
        <w:t xml:space="preserve"> </w:t>
      </w:r>
      <w:r>
        <w:t xml:space="preserve">effect was found in the health and social sciences. We see no clear</w:t>
      </w:r>
      <w:r>
        <w:t xml:space="preserve"> </w:t>
      </w:r>
      <w:r>
        <w:t xml:space="preserve">reason why career variability would decrease while the variability in</w:t>
      </w:r>
      <w:r>
        <w:t xml:space="preserve"> </w:t>
      </w:r>
      <w:r>
        <w:t xml:space="preserve">the number of publications would increase. The effect sizes for career</w:t>
      </w:r>
      <w:r>
        <w:t xml:space="preserve"> </w:t>
      </w:r>
      <w:r>
        <w:t xml:space="preserve">length were much larger than the effects for number of publications. One</w:t>
      </w:r>
      <w:r>
        <w:t xml:space="preserve"> </w:t>
      </w:r>
      <w:r>
        <w:t xml:space="preserve">speculation is the increasing requirements for a competitive faculty</w:t>
      </w:r>
      <w:r>
        <w:t xml:space="preserve"> </w:t>
      </w:r>
      <w:r>
        <w:t xml:space="preserve">role application. Given the limited number of positions, one potential</w:t>
      </w:r>
      <w:r>
        <w:t xml:space="preserve"> </w:t>
      </w:r>
      <w:r>
        <w:t xml:space="preserve">way to distinguish their application would be a larger number</w:t>
      </w:r>
      <w:r>
        <w:t xml:space="preserve"> </w:t>
      </w:r>
      <w:r>
        <w:t xml:space="preserve">publications in their early career</w:t>
      </w:r>
      <w:r>
        <w:t xml:space="preserve"> </w:t>
      </w:r>
      <w:r>
        <w:t xml:space="preserve">(Caplow, 2017; Kyvik, 2003)</w:t>
      </w:r>
      <w:r>
        <w:t xml:space="preserve">.</w:t>
      </w:r>
    </w:p>
    <w:p>
      <w:pPr>
        <w:pStyle w:val="Textkrper"/>
      </w:pPr>
      <w:r>
        <w:t xml:space="preserve">The number of geopolitical entities for researcher affiliation is</w:t>
      </w:r>
      <w:r>
        <w:t xml:space="preserve"> </w:t>
      </w:r>
      <w:r>
        <w:t xml:space="preserve">increasing over time, showing the results of globalization and the</w:t>
      </w:r>
      <w:r>
        <w:t xml:space="preserve"> </w:t>
      </w:r>
      <w:r>
        <w:t xml:space="preserve">ability to connect across time zones and cultures</w:t>
      </w:r>
      <w:r>
        <w:t xml:space="preserve"> </w:t>
      </w:r>
      <w:r>
        <w:t xml:space="preserve">(Xie, 2014)</w:t>
      </w:r>
      <w:r>
        <w:t xml:space="preserve">. While our</w:t>
      </w:r>
      <w:r>
        <w:t xml:space="preserve"> </w:t>
      </w:r>
      <w:r>
        <w:t xml:space="preserve">definition of big team science required at least ten different</w:t>
      </w:r>
      <w:r>
        <w:t xml:space="preserve"> </w:t>
      </w:r>
      <w:r>
        <w:t xml:space="preserve">institutional affiliations, we did not filter papers by geopolitical</w:t>
      </w:r>
      <w:r>
        <w:t xml:space="preserve"> </w:t>
      </w:r>
      <w:r>
        <w:t xml:space="preserve">region, and thus, a manuscript could rely solely on institutions within</w:t>
      </w:r>
      <w:r>
        <w:t xml:space="preserve"> </w:t>
      </w:r>
      <w:r>
        <w:t xml:space="preserve">a single country. The physical sciences did not show an increase in</w:t>
      </w:r>
      <w:r>
        <w:t xml:space="preserve"> </w:t>
      </w:r>
      <w:r>
        <w:t xml:space="preserve">diversity of regions represented, however, it could be argued that the</w:t>
      </w:r>
      <w:r>
        <w:t xml:space="preserve"> </w:t>
      </w:r>
      <w:r>
        <w:t xml:space="preserve">development of large research centers like CERN forced earlier diversity</w:t>
      </w:r>
      <w:r>
        <w:t xml:space="preserve"> </w:t>
      </w:r>
      <w:r>
        <w:t xml:space="preserve">than other sciences (i.e., because CERN specifically recruited</w:t>
      </w:r>
      <w:r>
        <w:t xml:space="preserve"> </w:t>
      </w:r>
      <w:r>
        <w:t xml:space="preserve">scientists from sponsoring nations). The life, health, and social</w:t>
      </w:r>
      <w:r>
        <w:t xml:space="preserve"> </w:t>
      </w:r>
      <w:r>
        <w:t xml:space="preserve">sciences saw an increase in the number of regions represented with the</w:t>
      </w:r>
      <w:r>
        <w:t xml:space="preserve"> </w:t>
      </w:r>
      <w:r>
        <w:t xml:space="preserve">highest increase in the social science. This result likely corresponds</w:t>
      </w:r>
      <w:r>
        <w:t xml:space="preserve"> </w:t>
      </w:r>
      <w:r>
        <w:t xml:space="preserve">with an increased interest in big team science publications in</w:t>
      </w:r>
      <w:r>
        <w:t xml:space="preserve"> </w:t>
      </w:r>
      <w:r>
        <w:t xml:space="preserve">psychology</w:t>
      </w:r>
      <w:r>
        <w:t xml:space="preserve"> </w:t>
      </w:r>
      <w:r>
        <w:t xml:space="preserve">(Coles et al., 2022; Forscher et al., 2020)</w:t>
      </w:r>
      <w:r>
        <w:t xml:space="preserve">, and the desire to diversify the</w:t>
      </w:r>
      <w:r>
        <w:t xml:space="preserve"> </w:t>
      </w:r>
      <w:r>
        <w:t xml:space="preserve">populations represented in psychological research</w:t>
      </w:r>
      <w:r>
        <w:t xml:space="preserve"> </w:t>
      </w:r>
      <w:r>
        <w:t xml:space="preserve">(Henrich et al., 2010; Newson et al., 2021)</w:t>
      </w:r>
      <w:r>
        <w:t xml:space="preserve">.</w:t>
      </w:r>
    </w:p>
    <w:p>
      <w:pPr>
        <w:pStyle w:val="Textkrper"/>
      </w:pPr>
      <w:r>
        <w:t xml:space="preserve">While publications on the whole are diversifying, we did not yet find</w:t>
      </w:r>
      <w:r>
        <w:t xml:space="preserve"> </w:t>
      </w:r>
      <w:r>
        <w:t xml:space="preserve">equality in the representation for first/corresponding author spots</w:t>
      </w:r>
      <w:r>
        <w:t xml:space="preserve"> </w:t>
      </w:r>
      <w:r>
        <w:t xml:space="preserve">versus all other authors. In general, first authors appear to be less</w:t>
      </w:r>
      <w:r>
        <w:t xml:space="preserve"> </w:t>
      </w:r>
      <w:r>
        <w:t xml:space="preserve">diverse, representing more European and North American authors, while</w:t>
      </w:r>
      <w:r>
        <w:t xml:space="preserve"> </w:t>
      </w:r>
      <w:r>
        <w:t xml:space="preserve">other authors include more Asian and African authors. These effect sizes</w:t>
      </w:r>
      <w:r>
        <w:t xml:space="preserve"> </w:t>
      </w:r>
      <w:r>
        <w:t xml:space="preserve">were often small, but the inequality still persists across years, even</w:t>
      </w:r>
      <w:r>
        <w:t xml:space="preserve"> </w:t>
      </w:r>
      <w:r>
        <w:t xml:space="preserve">if they are slowly decreasing. Diverse teams are more likely to have</w:t>
      </w:r>
      <w:r>
        <w:t xml:space="preserve"> </w:t>
      </w:r>
      <w:r>
        <w:t xml:space="preserve">papers with stronger</w:t>
      </w:r>
      <w:r>
        <w:t xml:space="preserve"> </w:t>
      </w:r>
      <w:r>
        <w:t xml:space="preserve">“</w:t>
      </w:r>
      <w:r>
        <w:t xml:space="preserve">impact</w:t>
      </w:r>
      <w:r>
        <w:t xml:space="preserve">”</w:t>
      </w:r>
      <w:r>
        <w:t xml:space="preserve"> </w:t>
      </w:r>
      <w:r>
        <w:t xml:space="preserve">(Freeman &amp; Huang, 2015; Hinnant et al., 2012; B. F. Jones, Wuchty, &amp; Uzzi, 2008; Yang, Tian, Woodruff, Jones, &amp; Uzzi, 2022)</w:t>
      </w:r>
      <w:r>
        <w:t xml:space="preserve"> </w:t>
      </w:r>
      <w:r>
        <w:t xml:space="preserve">with higher citation metrics for more diverse author</w:t>
      </w:r>
      <w:r>
        <w:t xml:space="preserve"> </w:t>
      </w:r>
      <w:r>
        <w:t xml:space="preserve">lists. The introduction of contributorship models [e.g., CRediT;</w:t>
      </w:r>
      <w:r>
        <w:t xml:space="preserve"> </w:t>
      </w:r>
      <w:r>
        <w:t xml:space="preserve">Allen et al. (2019)</w:t>
      </w:r>
      <w:r>
        <w:t xml:space="preserve">] will hopefully continue to push these effects down, as they</w:t>
      </w:r>
      <w:r>
        <w:t xml:space="preserve"> </w:t>
      </w:r>
      <w:r>
        <w:t xml:space="preserve">highlight each individual’s contribution to a manuscript.</w:t>
      </w:r>
    </w:p>
    <w:p>
      <w:pPr>
        <w:pStyle w:val="Textkrper"/>
      </w:pPr>
      <w:r>
        <w:t xml:space="preserve">The limitations for this research are tied to the availability and</w:t>
      </w:r>
      <w:r>
        <w:t xml:space="preserve"> </w:t>
      </w:r>
      <w:r>
        <w:t xml:space="preserve">curation of the Scopus dataset. While the number of articles analyzed</w:t>
      </w:r>
      <w:r>
        <w:t xml:space="preserve"> </w:t>
      </w:r>
      <w:r>
        <w:t xml:space="preserve">for this investigation was large, the criteria for inclusion requires</w:t>
      </w:r>
      <w:r>
        <w:t xml:space="preserve"> </w:t>
      </w:r>
      <w:r>
        <w:t xml:space="preserve">the correct entry of author affiliations, the correct author linkages</w:t>
      </w:r>
      <w:r>
        <w:t xml:space="preserve"> </w:t>
      </w:r>
      <w:r>
        <w:t xml:space="preserve">for career length and publication rates, and the correctly marked</w:t>
      </w:r>
      <w:r>
        <w:t xml:space="preserve"> </w:t>
      </w:r>
      <w:r>
        <w:t xml:space="preserve">geopolitical entity. We had planned to analyze educational levels to</w:t>
      </w:r>
      <w:r>
        <w:t xml:space="preserve"> </w:t>
      </w:r>
      <w:r>
        <w:t xml:space="preserve">determine if the number of student coauthors (i.e., non-terminal degree)</w:t>
      </w:r>
      <w:r>
        <w:t xml:space="preserve"> </w:t>
      </w:r>
      <w:r>
        <w:t xml:space="preserve">had increased over time; however, this data was mostly blank within the</w:t>
      </w:r>
      <w:r>
        <w:t xml:space="preserve"> </w:t>
      </w:r>
      <w:r>
        <w:t xml:space="preserve">Scopus archive. Scopus is a carefully curated dataset, but these</w:t>
      </w:r>
      <w:r>
        <w:t xml:space="preserve"> </w:t>
      </w:r>
      <w:r>
        <w:t xml:space="preserve">limitations must be kept in mind when interpreting the results.</w:t>
      </w:r>
      <w:r>
        <w:t xml:space="preserve"> </w:t>
      </w:r>
      <w:r>
        <w:t xml:space="preserve">Publication language diversity was not investigated, and a previous</w:t>
      </w:r>
      <w:r>
        <w:t xml:space="preserve"> </w:t>
      </w:r>
      <w:r>
        <w:t xml:space="preserve">study indicates that the majority of publications in big databases are</w:t>
      </w:r>
      <w:r>
        <w:t xml:space="preserve"> </w:t>
      </w:r>
      <w:r>
        <w:t xml:space="preserve">in English</w:t>
      </w:r>
      <w:r>
        <w:t xml:space="preserve"> </w:t>
      </w:r>
      <w:r>
        <w:t xml:space="preserve">(Albarillo, 2014)</w:t>
      </w:r>
      <w:r>
        <w:t xml:space="preserve">. Certainly, publications in non-English</w:t>
      </w:r>
      <w:r>
        <w:t xml:space="preserve"> </w:t>
      </w:r>
      <w:r>
        <w:t xml:space="preserve">languages would improve the statistics on diversity in scientific</w:t>
      </w:r>
      <w:r>
        <w:t xml:space="preserve"> </w:t>
      </w:r>
      <w:r>
        <w:t xml:space="preserve">publishing - but the English language barrier likely exists regardless</w:t>
      </w:r>
      <w:r>
        <w:t xml:space="preserve"> </w:t>
      </w:r>
      <w:r>
        <w:t xml:space="preserve">of inclusion in databases</w:t>
      </w:r>
      <w:r>
        <w:t xml:space="preserve"> </w:t>
      </w:r>
      <w:r>
        <w:t xml:space="preserve">(Meneghini &amp; Packer, 2007; Ramírez-Castañeda, 2020)</w:t>
      </w:r>
      <w:r>
        <w:t xml:space="preserve">.</w:t>
      </w:r>
    </w:p>
    <w:p>
      <w:pPr>
        <w:pStyle w:val="Textkrper"/>
      </w:pPr>
      <w:r>
        <w:t xml:space="preserve">Big teams have the ability to provide high-impact, important research</w:t>
      </w:r>
      <w:r>
        <w:t xml:space="preserve"> </w:t>
      </w:r>
      <w:r>
        <w:t xml:space="preserve">within scientific publishing, and this report suggests a promising trend</w:t>
      </w:r>
      <w:r>
        <w:t xml:space="preserve"> </w:t>
      </w:r>
      <w:r>
        <w:t xml:space="preserve">of increasing numbers of publications that include earlier career and</w:t>
      </w:r>
      <w:r>
        <w:t xml:space="preserve"> </w:t>
      </w:r>
      <w:r>
        <w:t xml:space="preserve">more diverse scholars. These partnerships introduce new challenges to</w:t>
      </w:r>
      <w:r>
        <w:t xml:space="preserve"> </w:t>
      </w:r>
      <w:r>
        <w:t xml:space="preserve">collaboration from interpersonal conflict, infrastructure, incentives,</w:t>
      </w:r>
      <w:r>
        <w:t xml:space="preserve"> </w:t>
      </w:r>
      <w:r>
        <w:t xml:space="preserve">to international political situations</w:t>
      </w:r>
      <w:r>
        <w:t xml:space="preserve"> </w:t>
      </w:r>
      <w:r>
        <w:t xml:space="preserve">(Forscher et al., 2020)</w:t>
      </w:r>
      <w:r>
        <w:t xml:space="preserve">. Directed studies</w:t>
      </w:r>
      <w:r>
        <w:t xml:space="preserve"> </w:t>
      </w:r>
      <w:r>
        <w:t xml:space="preserve">into ways to navigate these situations would be beneficial for policy</w:t>
      </w:r>
      <w:r>
        <w:t xml:space="preserve"> </w:t>
      </w:r>
      <w:r>
        <w:t xml:space="preserve">makers at institutions, as well as lead teams who organize and complete</w:t>
      </w:r>
      <w:r>
        <w:t xml:space="preserve"> </w:t>
      </w:r>
      <w:r>
        <w:t xml:space="preserve">these projects. The implications for retention and promotion processes</w:t>
      </w:r>
      <w:r>
        <w:t xml:space="preserve"> </w:t>
      </w:r>
      <w:r>
        <w:t xml:space="preserve">across a broad span of regions should be explored to improve diversity</w:t>
      </w:r>
      <w:r>
        <w:t xml:space="preserve"> </w:t>
      </w:r>
      <w:r>
        <w:t xml:space="preserve">with the understanding of the differential impact of incentives for</w:t>
      </w:r>
      <w:r>
        <w:t xml:space="preserve"> </w:t>
      </w:r>
      <w:r>
        <w:t xml:space="preserve">participating in big team studies.</w:t>
      </w:r>
    </w:p>
    <w:p>
      <w:r>
        <w:br w:type="page"/>
      </w:r>
    </w:p>
    <w:bookmarkEnd w:id="63"/>
    <w:bookmarkStart w:id="190" w:name="references"/>
    <w:p>
      <w:pPr>
        <w:pStyle w:val="berschrift1"/>
      </w:pPr>
      <w:r>
        <w:t xml:space="preserve">References</w:t>
      </w:r>
    </w:p>
    <w:bookmarkStart w:id="189" w:name="refs"/>
    <w:bookmarkStart w:id="65"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64">
        <w:r>
          <w:rPr>
            <w:rStyle w:val="Hyperlink"/>
          </w:rPr>
          <w:t xml:space="preserve">https://doi.org/10.1038/s41567-021-01278-0</w:t>
        </w:r>
      </w:hyperlink>
    </w:p>
    <w:bookmarkEnd w:id="65"/>
    <w:bookmarkStart w:id="67" w:name="ref-albarillo2014"/>
    <w:p>
      <w:pPr>
        <w:pStyle w:val="Literaturverzeichnis"/>
      </w:pPr>
      <w:r>
        <w:t xml:space="preserve">Albarillo, F. (2014). Language in social science databases: English versus non-english articles in JSTOR and scopus.</w:t>
      </w:r>
      <w:r>
        <w:t xml:space="preserve"> </w:t>
      </w:r>
      <w:r>
        <w:rPr>
          <w:iCs/>
          <w:i/>
        </w:rPr>
        <w:t xml:space="preserve">Behavioral &amp; Social Sciences Librarian</w:t>
      </w:r>
      <w:r>
        <w:t xml:space="preserve">,</w:t>
      </w:r>
      <w:r>
        <w:t xml:space="preserve"> </w:t>
      </w:r>
      <w:r>
        <w:rPr>
          <w:iCs/>
          <w:i/>
        </w:rPr>
        <w:t xml:space="preserve">33</w:t>
      </w:r>
      <w:r>
        <w:t xml:space="preserve">(2), 77–90.</w:t>
      </w:r>
      <w:r>
        <w:t xml:space="preserve"> </w:t>
      </w:r>
      <w:hyperlink r:id="rId66">
        <w:r>
          <w:rPr>
            <w:rStyle w:val="Hyperlink"/>
          </w:rPr>
          <w:t xml:space="preserve">https://doi.org/10.1080/01639269.2014.904693</w:t>
        </w:r>
      </w:hyperlink>
    </w:p>
    <w:bookmarkEnd w:id="67"/>
    <w:bookmarkStart w:id="69"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68">
        <w:r>
          <w:rPr>
            <w:rStyle w:val="Hyperlink"/>
          </w:rPr>
          <w:t xml:space="preserve">https://doi.org/10.1002/leap.1210</w:t>
        </w:r>
      </w:hyperlink>
    </w:p>
    <w:bookmarkEnd w:id="69"/>
    <w:bookmarkStart w:id="70"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70"/>
    <w:bookmarkStart w:id="72" w:name="ref-bago2022"/>
    <w:p>
      <w:pPr>
        <w:pStyle w:val="Literaturverzeichnis"/>
      </w:pPr>
      <w:r>
        <w:t xml:space="preserve">Bago, B., Kovacs, M., Protzko, J., Nagy, T., Kekecs, Z., Palfi, B.,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71">
        <w:r>
          <w:rPr>
            <w:rStyle w:val="Hyperlink"/>
          </w:rPr>
          <w:t xml:space="preserve">https://doi.org/10.1038/s41562-022-01319-5</w:t>
        </w:r>
      </w:hyperlink>
    </w:p>
    <w:bookmarkEnd w:id="72"/>
    <w:bookmarkStart w:id="74" w:name="ref-buttrick2020"/>
    <w:p>
      <w:pPr>
        <w:pStyle w:val="Literaturverzeichnis"/>
      </w:pPr>
      <w:r>
        <w:t xml:space="preserve">Buttrick, N. R., Aczel, B., Aeschbach, L. F., Bakos, B. E., Brühlmann, F., Claypool, H. M., …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73">
        <w:r>
          <w:rPr>
            <w:rStyle w:val="Hyperlink"/>
          </w:rPr>
          <w:t xml:space="preserve">https://doi.org/10.1177/2515245920917931</w:t>
        </w:r>
      </w:hyperlink>
    </w:p>
    <w:bookmarkEnd w:id="74"/>
    <w:bookmarkStart w:id="76" w:name="ref-caplow2017"/>
    <w:p>
      <w:pPr>
        <w:pStyle w:val="Literaturverzeichnis"/>
      </w:pPr>
      <w:r>
        <w:t xml:space="preserve">Caplow, T. (2017).</w:t>
      </w:r>
      <w:r>
        <w:t xml:space="preserve"> </w:t>
      </w:r>
      <w:r>
        <w:rPr>
          <w:iCs/>
          <w:i/>
        </w:rPr>
        <w:t xml:space="preserve">The academic marketplace</w:t>
      </w:r>
      <w:r>
        <w:t xml:space="preserve"> </w:t>
      </w:r>
      <w:r>
        <w:t xml:space="preserve">(2nd ed.). New York: Routledge.</w:t>
      </w:r>
      <w:r>
        <w:t xml:space="preserve"> </w:t>
      </w:r>
      <w:hyperlink r:id="rId75">
        <w:r>
          <w:rPr>
            <w:rStyle w:val="Hyperlink"/>
          </w:rPr>
          <w:t xml:space="preserve">https://doi.org/10.4324/9781351305969</w:t>
        </w:r>
      </w:hyperlink>
    </w:p>
    <w:bookmarkEnd w:id="76"/>
    <w:bookmarkStart w:id="78"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77">
        <w:r>
          <w:rPr>
            <w:rStyle w:val="Hyperlink"/>
          </w:rPr>
          <w:t xml:space="preserve">https://doi.org/10.1016/j.respol.2018.06.018</w:t>
        </w:r>
      </w:hyperlink>
    </w:p>
    <w:bookmarkEnd w:id="78"/>
    <w:bookmarkStart w:id="80"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79">
        <w:r>
          <w:rPr>
            <w:rStyle w:val="Hyperlink"/>
          </w:rPr>
          <w:t xml:space="preserve">https://doi.org/10.1038/d41586-022-00150-2</w:t>
        </w:r>
      </w:hyperlink>
    </w:p>
    <w:bookmarkEnd w:id="80"/>
    <w:bookmarkStart w:id="82"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81">
        <w:r>
          <w:rPr>
            <w:rStyle w:val="Hyperlink"/>
          </w:rPr>
          <w:t xml:space="preserve">https://doi.org/10.1126/science.1084564</w:t>
        </w:r>
      </w:hyperlink>
    </w:p>
    <w:bookmarkEnd w:id="82"/>
    <w:bookmarkStart w:id="84" w:name="ref-dorison2022"/>
    <w:p>
      <w:pPr>
        <w:pStyle w:val="Literaturverzeichnis"/>
      </w:pPr>
      <w:r>
        <w:t xml:space="preserve">Dorison, C., Lerner, J., Heller, B., Rothman, A., Kawachi, I., Wang, K.,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83">
        <w:r>
          <w:rPr>
            <w:rStyle w:val="Hyperlink"/>
          </w:rPr>
          <w:t xml:space="preserve">https://doi.org/10.31234/osf.io/sevkf</w:t>
        </w:r>
      </w:hyperlink>
    </w:p>
    <w:bookmarkEnd w:id="84"/>
    <w:bookmarkStart w:id="86" w:name="ref-ebersole2016"/>
    <w:p>
      <w:pPr>
        <w:pStyle w:val="Literaturverzeichnis"/>
      </w:pPr>
      <w:r>
        <w:t xml:space="preserve">Ebersole, C. R., Atherton, O. E., Belanger, A. L., Skulborstad, H. M., Allen, J. M., Banks, J. B.,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85">
        <w:r>
          <w:rPr>
            <w:rStyle w:val="Hyperlink"/>
          </w:rPr>
          <w:t xml:space="preserve">https://doi.org/10.1016/j.jesp.2015.10.012</w:t>
        </w:r>
      </w:hyperlink>
    </w:p>
    <w:bookmarkEnd w:id="86"/>
    <w:bookmarkStart w:id="88" w:name="ref-ebersole2020"/>
    <w:p>
      <w:pPr>
        <w:pStyle w:val="Literaturverzeichnis"/>
      </w:pPr>
      <w:r>
        <w:t xml:space="preserve">Ebersole, C. R., Mathur, M. B., Baranski, E., Bart-Plange, D.-J., Buttrick, N. R., Chartier, C. R.,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87">
        <w:r>
          <w:rPr>
            <w:rStyle w:val="Hyperlink"/>
          </w:rPr>
          <w:t xml:space="preserve">https://doi.org/10.1177/2515245920958687</w:t>
        </w:r>
      </w:hyperlink>
    </w:p>
    <w:bookmarkEnd w:id="88"/>
    <w:bookmarkStart w:id="90"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89">
        <w:r>
          <w:rPr>
            <w:rStyle w:val="Hyperlink"/>
          </w:rPr>
          <w:t xml:space="preserve">https://doi.org/10.7554/eLife.71601</w:t>
        </w:r>
      </w:hyperlink>
    </w:p>
    <w:bookmarkEnd w:id="90"/>
    <w:bookmarkStart w:id="92"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91">
        <w:r>
          <w:rPr>
            <w:rStyle w:val="Hyperlink"/>
          </w:rPr>
          <w:t xml:space="preserve">https://doi.org/10.31234/osf.io/2mdxh</w:t>
        </w:r>
      </w:hyperlink>
    </w:p>
    <w:bookmarkEnd w:id="92"/>
    <w:bookmarkStart w:id="94"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93">
        <w:r>
          <w:rPr>
            <w:rStyle w:val="Hyperlink"/>
          </w:rPr>
          <w:t xml:space="preserve">https://doi.org/10.1126/science.1255484</w:t>
        </w:r>
      </w:hyperlink>
    </w:p>
    <w:bookmarkEnd w:id="94"/>
    <w:bookmarkStart w:id="96" w:name="ref-freeman2015"/>
    <w:p>
      <w:pPr>
        <w:pStyle w:val="Literaturverzeichnis"/>
      </w:pPr>
      <w:r>
        <w:t xml:space="preserve">Freeman, R. B., &amp; Huang, W. (2015). Collaborating with People Like Me: Ethnic Coauthorship within the United States.</w:t>
      </w:r>
      <w:r>
        <w:t xml:space="preserve"> </w:t>
      </w:r>
      <w:r>
        <w:rPr>
          <w:iCs/>
          <w:i/>
        </w:rPr>
        <w:t xml:space="preserve">Journal of Labor Economics</w:t>
      </w:r>
      <w:r>
        <w:t xml:space="preserve">,</w:t>
      </w:r>
      <w:r>
        <w:t xml:space="preserve"> </w:t>
      </w:r>
      <w:r>
        <w:rPr>
          <w:iCs/>
          <w:i/>
        </w:rPr>
        <w:t xml:space="preserve">33</w:t>
      </w:r>
      <w:r>
        <w:t xml:space="preserve">(S1), S289–S318.</w:t>
      </w:r>
      <w:r>
        <w:t xml:space="preserve"> </w:t>
      </w:r>
      <w:hyperlink r:id="rId95">
        <w:r>
          <w:rPr>
            <w:rStyle w:val="Hyperlink"/>
          </w:rPr>
          <w:t xml:space="preserve">https://doi.org/10.1086/678973</w:t>
        </w:r>
      </w:hyperlink>
    </w:p>
    <w:bookmarkEnd w:id="96"/>
    <w:bookmarkStart w:id="98"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97">
        <w:r>
          <w:rPr>
            <w:rStyle w:val="Hyperlink"/>
          </w:rPr>
          <w:t xml:space="preserve">https://doi.org/10.1080/00224545.2014.853582</w:t>
        </w:r>
      </w:hyperlink>
    </w:p>
    <w:bookmarkEnd w:id="98"/>
    <w:bookmarkStart w:id="100"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99">
        <w:r>
          <w:rPr>
            <w:rStyle w:val="Hyperlink"/>
          </w:rPr>
          <w:t xml:space="preserve">https://doi.org/10.1017/S0140525X0999152X</w:t>
        </w:r>
      </w:hyperlink>
    </w:p>
    <w:bookmarkEnd w:id="100"/>
    <w:bookmarkStart w:id="102" w:name="ref-hinnant2012"/>
    <w:p>
      <w:pPr>
        <w:pStyle w:val="Literaturverzeichnis"/>
      </w:pPr>
      <w:r>
        <w:t xml:space="preserve">Hinnant, C. C., Stvilia, B., Wu, S., Worrall, A., Burnett, G., Burnett, K., … Marty, P. F. (2012). Author-team diversity and the impact of scientific publications: Evidence from physics research at a national science lab.</w:t>
      </w:r>
      <w:r>
        <w:t xml:space="preserve"> </w:t>
      </w:r>
      <w:r>
        <w:rPr>
          <w:iCs/>
          <w:i/>
        </w:rPr>
        <w:t xml:space="preserve">Library &amp; Information Science Research</w:t>
      </w:r>
      <w:r>
        <w:t xml:space="preserve">,</w:t>
      </w:r>
      <w:r>
        <w:t xml:space="preserve"> </w:t>
      </w:r>
      <w:r>
        <w:rPr>
          <w:iCs/>
          <w:i/>
        </w:rPr>
        <w:t xml:space="preserve">34</w:t>
      </w:r>
      <w:r>
        <w:t xml:space="preserve">(4), 249–257.</w:t>
      </w:r>
      <w:r>
        <w:t xml:space="preserve"> </w:t>
      </w:r>
      <w:hyperlink r:id="rId101">
        <w:r>
          <w:rPr>
            <w:rStyle w:val="Hyperlink"/>
          </w:rPr>
          <w:t xml:space="preserve">https://doi.org/10.1016/j.lisr.2012.03.001</w:t>
        </w:r>
      </w:hyperlink>
    </w:p>
    <w:bookmarkEnd w:id="102"/>
    <w:bookmarkStart w:id="104"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03">
        <w:r>
          <w:rPr>
            <w:rStyle w:val="Hyperlink"/>
          </w:rPr>
          <w:t xml:space="preserve">https://doi.org/10.2466/pr0.1997.80.1.337</w:t>
        </w:r>
      </w:hyperlink>
    </w:p>
    <w:bookmarkEnd w:id="104"/>
    <w:bookmarkStart w:id="106" w:name="ref-hunter2008"/>
    <w:p>
      <w:pPr>
        <w:pStyle w:val="Literaturverzeichnis"/>
      </w:pPr>
      <w:r>
        <w:t xml:space="preserve">Hunter, L., &amp; Leahey, E. (2008). Collaborative Research in Sociology: Trends and Contributing Factors.</w:t>
      </w:r>
      <w:r>
        <w:t xml:space="preserve"> </w:t>
      </w:r>
      <w:r>
        <w:rPr>
          <w:iCs/>
          <w:i/>
        </w:rPr>
        <w:t xml:space="preserve">The American Sociologist</w:t>
      </w:r>
      <w:r>
        <w:t xml:space="preserve">,</w:t>
      </w:r>
      <w:r>
        <w:t xml:space="preserve"> </w:t>
      </w:r>
      <w:r>
        <w:rPr>
          <w:iCs/>
          <w:i/>
        </w:rPr>
        <w:t xml:space="preserve">39</w:t>
      </w:r>
      <w:r>
        <w:t xml:space="preserve">(4), 290–306.</w:t>
      </w:r>
      <w:r>
        <w:t xml:space="preserve"> </w:t>
      </w:r>
      <w:hyperlink r:id="rId105">
        <w:r>
          <w:rPr>
            <w:rStyle w:val="Hyperlink"/>
          </w:rPr>
          <w:t xml:space="preserve">https://doi.org/10.1007/s12108-008-9042-1</w:t>
        </w:r>
      </w:hyperlink>
    </w:p>
    <w:bookmarkEnd w:id="106"/>
    <w:bookmarkStart w:id="108"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 Retrieved from</w:t>
      </w:r>
      <w:r>
        <w:t xml:space="preserve"> </w:t>
      </w:r>
      <w:hyperlink r:id="rId107">
        <w:r>
          <w:rPr>
            <w:rStyle w:val="Hyperlink"/>
          </w:rPr>
          <w:t xml:space="preserve">https://www.ncbi.nlm.nih.gov/pmc/articles/PMC4938249/</w:t>
        </w:r>
      </w:hyperlink>
    </w:p>
    <w:bookmarkEnd w:id="108"/>
    <w:bookmarkStart w:id="110" w:name="ref-isager2021"/>
    <w:p>
      <w:pPr>
        <w:pStyle w:val="Literaturverzeichnis"/>
      </w:pPr>
      <w:r>
        <w:t xml:space="preserve">Isager, P. M., Aert, R. C. M. van, Bahník, Š., Brandt, M. J., DeSoto, K. A., Giner-Sorolla, R., …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0"/>
    <w:bookmarkStart w:id="111" w:name="ref-isager2021a"/>
    <w:p>
      <w:pPr>
        <w:pStyle w:val="Literaturverzeichnis"/>
      </w:pPr>
      <w:r>
        <w:t xml:space="preserve">Isager, P. M., Aert, R. C. M. van, Bahník, Š., Brandt, M. J., DeSoto, K. A., Giner-Sorolla, R., …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1"/>
    <w:bookmarkStart w:id="113"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12">
        <w:r>
          <w:rPr>
            <w:rStyle w:val="Hyperlink"/>
          </w:rPr>
          <w:t xml:space="preserve">https://doi.org/10.1177/0956797611430953</w:t>
        </w:r>
      </w:hyperlink>
    </w:p>
    <w:bookmarkEnd w:id="113"/>
    <w:bookmarkStart w:id="115" w:name="ref-jones2021"/>
    <w:p>
      <w:pPr>
        <w:pStyle w:val="Literaturverzeichnis"/>
      </w:pPr>
      <w:r>
        <w:t xml:space="preserve">Jones, B. C., DeBruine, L. M., Flake, J. K., Liuzza, M. T., Antfolk, J., Arinze, N.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14">
        <w:r>
          <w:rPr>
            <w:rStyle w:val="Hyperlink"/>
          </w:rPr>
          <w:t xml:space="preserve">https://doi.org/10.1038/s41562-020-01007-2</w:t>
        </w:r>
      </w:hyperlink>
    </w:p>
    <w:bookmarkEnd w:id="115"/>
    <w:bookmarkStart w:id="117" w:name="ref-jones2008"/>
    <w:p>
      <w:pPr>
        <w:pStyle w:val="Literaturverzeichnis"/>
      </w:pPr>
      <w:r>
        <w:t xml:space="preserve">Jones, B. F., Wuchty, S., &amp; Uzzi, B. (2008). Multi-university research teams: Shifting impact, geography, and stratification in science.</w:t>
      </w:r>
      <w:r>
        <w:t xml:space="preserve"> </w:t>
      </w:r>
      <w:r>
        <w:rPr>
          <w:iCs/>
          <w:i/>
        </w:rPr>
        <w:t xml:space="preserve">Science</w:t>
      </w:r>
      <w:r>
        <w:t xml:space="preserve">,</w:t>
      </w:r>
      <w:r>
        <w:t xml:space="preserve"> </w:t>
      </w:r>
      <w:r>
        <w:rPr>
          <w:iCs/>
          <w:i/>
        </w:rPr>
        <w:t xml:space="preserve">322</w:t>
      </w:r>
      <w:r>
        <w:t xml:space="preserve">(5905), 1259–1262.</w:t>
      </w:r>
      <w:r>
        <w:t xml:space="preserve"> </w:t>
      </w:r>
      <w:hyperlink r:id="rId116">
        <w:r>
          <w:rPr>
            <w:rStyle w:val="Hyperlink"/>
          </w:rPr>
          <w:t xml:space="preserve">https://doi.org/10.1126/science.1158357</w:t>
        </w:r>
      </w:hyperlink>
    </w:p>
    <w:bookmarkEnd w:id="117"/>
    <w:bookmarkStart w:id="119" w:name="ref-kidwell2016"/>
    <w:p>
      <w:pPr>
        <w:pStyle w:val="Literaturverzeichnis"/>
      </w:pPr>
      <w:r>
        <w:t xml:space="preserve">Kidwell, M. C., Lazarević, L. B., Baranski, E., Hardwicke, T. E., Piechowski, S., Falkenberg, L.-S., …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18">
        <w:r>
          <w:rPr>
            <w:rStyle w:val="Hyperlink"/>
          </w:rPr>
          <w:t xml:space="preserve">https://doi.org/10.1371/journal.pbio.1002456</w:t>
        </w:r>
      </w:hyperlink>
    </w:p>
    <w:bookmarkEnd w:id="119"/>
    <w:bookmarkStart w:id="121" w:name="ref-klein2022"/>
    <w:p>
      <w:pPr>
        <w:pStyle w:val="Literaturverzeichnis"/>
      </w:pPr>
      <w:r>
        <w:t xml:space="preserve">Klein, Richard A., Cook, C. L., Ebersole, C. R., Vitiello, C., Nosek, B. A., Hilgard, J.,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20">
        <w:r>
          <w:rPr>
            <w:rStyle w:val="Hyperlink"/>
          </w:rPr>
          <w:t xml:space="preserve">https://doi.org/10.1525/collabra.35271</w:t>
        </w:r>
      </w:hyperlink>
    </w:p>
    <w:bookmarkEnd w:id="121"/>
    <w:bookmarkStart w:id="123" w:name="ref-klein2018"/>
    <w:p>
      <w:pPr>
        <w:pStyle w:val="Literaturverzeichnis"/>
      </w:pPr>
      <w:r>
        <w:t xml:space="preserve">Klein, Richard A., Vianello, M., Hasselman, F., Adams, B. G., Adams, R. B., Alper, S.,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22">
        <w:r>
          <w:rPr>
            <w:rStyle w:val="Hyperlink"/>
          </w:rPr>
          <w:t xml:space="preserve">https://doi.org/10.1177/2515245918810225</w:t>
        </w:r>
      </w:hyperlink>
    </w:p>
    <w:bookmarkEnd w:id="123"/>
    <w:bookmarkStart w:id="125" w:name="ref-kyvik2003"/>
    <w:p>
      <w:pPr>
        <w:pStyle w:val="Literaturverzeichnis"/>
      </w:pPr>
      <w:r>
        <w:t xml:space="preserve">Kyvik, S. (2003). Changing trends in publishing behaviour among university faculty, 1980-2000.</w:t>
      </w:r>
      <w:r>
        <w:t xml:space="preserve"> </w:t>
      </w:r>
      <w:r>
        <w:rPr>
          <w:iCs/>
          <w:i/>
        </w:rPr>
        <w:t xml:space="preserve">Scientometrics</w:t>
      </w:r>
      <w:r>
        <w:t xml:space="preserve">,</w:t>
      </w:r>
      <w:r>
        <w:t xml:space="preserve"> </w:t>
      </w:r>
      <w:r>
        <w:rPr>
          <w:iCs/>
          <w:i/>
        </w:rPr>
        <w:t xml:space="preserve">58</w:t>
      </w:r>
      <w:r>
        <w:t xml:space="preserve">(1), 35–48.</w:t>
      </w:r>
      <w:r>
        <w:t xml:space="preserve"> </w:t>
      </w:r>
      <w:hyperlink r:id="rId124">
        <w:r>
          <w:rPr>
            <w:rStyle w:val="Hyperlink"/>
          </w:rPr>
          <w:t xml:space="preserve">https://doi.org/10.1023/A:1025475423482</w:t>
        </w:r>
      </w:hyperlink>
    </w:p>
    <w:bookmarkEnd w:id="125"/>
    <w:bookmarkStart w:id="127" w:name="ref-larivière2015"/>
    <w:p>
      <w:pPr>
        <w:pStyle w:val="Literaturverzeichnis"/>
      </w:pPr>
      <w:r>
        <w:t xml:space="preserve">Larivière, V., Gingras, Y., Sugimoto, C. R., &amp; Tsou, A. (2015). Team size matters: Collaboration and scientific impact since 1900.</w:t>
      </w:r>
      <w:r>
        <w:t xml:space="preserve"> </w:t>
      </w:r>
      <w:r>
        <w:rPr>
          <w:iCs/>
          <w:i/>
        </w:rPr>
        <w:t xml:space="preserve">Journal of the Association for Information Science and Technology</w:t>
      </w:r>
      <w:r>
        <w:t xml:space="preserve">,</w:t>
      </w:r>
      <w:r>
        <w:t xml:space="preserve"> </w:t>
      </w:r>
      <w:r>
        <w:rPr>
          <w:iCs/>
          <w:i/>
        </w:rPr>
        <w:t xml:space="preserve">66</w:t>
      </w:r>
      <w:r>
        <w:t xml:space="preserve">(7), 1323–1332.</w:t>
      </w:r>
      <w:r>
        <w:t xml:space="preserve"> </w:t>
      </w:r>
      <w:hyperlink r:id="rId126">
        <w:r>
          <w:rPr>
            <w:rStyle w:val="Hyperlink"/>
          </w:rPr>
          <w:t xml:space="preserve">https://doi.org/10.1002/asi.23266</w:t>
        </w:r>
      </w:hyperlink>
    </w:p>
    <w:bookmarkEnd w:id="127"/>
    <w:bookmarkStart w:id="129"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28">
        <w:r>
          <w:rPr>
            <w:rStyle w:val="Hyperlink"/>
          </w:rPr>
          <w:t xml:space="preserve">https://doi.org/10.1177/2515245918787489</w:t>
        </w:r>
      </w:hyperlink>
    </w:p>
    <w:bookmarkEnd w:id="129"/>
    <w:bookmarkStart w:id="131" w:name="ref-legate2022"/>
    <w:p>
      <w:pPr>
        <w:pStyle w:val="Literaturverzeichnis"/>
      </w:pPr>
      <w:r>
        <w:t xml:space="preserve">Legate, N., Nguyen, T., Weinstein, N., Moller, A., Legault, L., Maniaci, M. R.,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30">
        <w:r>
          <w:rPr>
            <w:rStyle w:val="Hyperlink"/>
          </w:rPr>
          <w:t xml:space="preserve">https://doi.org/10.31234/osf.io/n3dyf</w:t>
        </w:r>
      </w:hyperlink>
    </w:p>
    <w:bookmarkEnd w:id="131"/>
    <w:bookmarkStart w:id="133" w:name="ref-lu2007"/>
    <w:p>
      <w:pPr>
        <w:pStyle w:val="Literaturverzeichnis"/>
      </w:pPr>
      <w:r>
        <w:t xml:space="preserve">Lu, Y. (2007). The human in human information acquisition: Understanding gatekeeping and proposing new directions in scholarship.</w:t>
      </w:r>
      <w:r>
        <w:t xml:space="preserve"> </w:t>
      </w:r>
      <w:r>
        <w:rPr>
          <w:iCs/>
          <w:i/>
        </w:rPr>
        <w:t xml:space="preserve">Library &amp; Information Science Research</w:t>
      </w:r>
      <w:r>
        <w:t xml:space="preserve">,</w:t>
      </w:r>
      <w:r>
        <w:t xml:space="preserve"> </w:t>
      </w:r>
      <w:r>
        <w:rPr>
          <w:iCs/>
          <w:i/>
        </w:rPr>
        <w:t xml:space="preserve">29</w:t>
      </w:r>
      <w:r>
        <w:t xml:space="preserve">(1), 103–123.</w:t>
      </w:r>
      <w:r>
        <w:t xml:space="preserve"> </w:t>
      </w:r>
      <w:hyperlink r:id="rId132">
        <w:r>
          <w:rPr>
            <w:rStyle w:val="Hyperlink"/>
          </w:rPr>
          <w:t xml:space="preserve">https://doi.org/10.1016/j.lisr.2006.10.007</w:t>
        </w:r>
      </w:hyperlink>
    </w:p>
    <w:bookmarkEnd w:id="133"/>
    <w:bookmarkStart w:id="135"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34">
        <w:r>
          <w:rPr>
            <w:rStyle w:val="Hyperlink"/>
          </w:rPr>
          <w:t xml:space="preserve">https://doi.org/10.1016/j.cortex.2018.12.015</w:t>
        </w:r>
      </w:hyperlink>
    </w:p>
    <w:bookmarkEnd w:id="135"/>
    <w:bookmarkStart w:id="137" w:name="ref-mathur2020"/>
    <w:p>
      <w:pPr>
        <w:pStyle w:val="Literaturverzeichnis"/>
      </w:pPr>
      <w:r>
        <w:t xml:space="preserve">Mathur, M. B., Bart-Plange, D.-J., Aczel, B., Bernstein, M. H., Ciunci, A. M., Ebersole, C. R.,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36">
        <w:r>
          <w:rPr>
            <w:rStyle w:val="Hyperlink"/>
          </w:rPr>
          <w:t xml:space="preserve">https://doi.org/10.1177/2515245918785165</w:t>
        </w:r>
      </w:hyperlink>
    </w:p>
    <w:bookmarkEnd w:id="137"/>
    <w:bookmarkStart w:id="139"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38">
        <w:r>
          <w:rPr>
            <w:rStyle w:val="Hyperlink"/>
          </w:rPr>
          <w:t xml:space="preserve">https://doi.org/10.1037/a0039400</w:t>
        </w:r>
      </w:hyperlink>
    </w:p>
    <w:bookmarkEnd w:id="139"/>
    <w:bookmarkStart w:id="141"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40">
        <w:r>
          <w:rPr>
            <w:rStyle w:val="Hyperlink"/>
          </w:rPr>
          <w:t xml:space="preserve">https://doi.org/10.1186/s41073-021-00112-8</w:t>
        </w:r>
      </w:hyperlink>
    </w:p>
    <w:bookmarkEnd w:id="141"/>
    <w:bookmarkStart w:id="143" w:name="ref-meneghini2007"/>
    <w:p>
      <w:pPr>
        <w:pStyle w:val="Literaturverzeichnis"/>
      </w:pPr>
      <w:r>
        <w:t xml:space="preserve">Meneghini, R., &amp; Packer, A. L. (2007). Is there science beyond english?</w:t>
      </w:r>
      <w:r>
        <w:t xml:space="preserve"> </w:t>
      </w:r>
      <w:r>
        <w:rPr>
          <w:iCs/>
          <w:i/>
        </w:rPr>
        <w:t xml:space="preserve">EMBO Reports</w:t>
      </w:r>
      <w:r>
        <w:t xml:space="preserve">,</w:t>
      </w:r>
      <w:r>
        <w:t xml:space="preserve"> </w:t>
      </w:r>
      <w:r>
        <w:rPr>
          <w:iCs/>
          <w:i/>
        </w:rPr>
        <w:t xml:space="preserve">8</w:t>
      </w:r>
      <w:r>
        <w:t xml:space="preserve">(2), 112–116.</w:t>
      </w:r>
      <w:r>
        <w:t xml:space="preserve"> </w:t>
      </w:r>
      <w:hyperlink r:id="rId142">
        <w:r>
          <w:rPr>
            <w:rStyle w:val="Hyperlink"/>
          </w:rPr>
          <w:t xml:space="preserve">https://doi.org/10.1038/sj.embor.7400906</w:t>
        </w:r>
      </w:hyperlink>
    </w:p>
    <w:bookmarkEnd w:id="143"/>
    <w:bookmarkStart w:id="145" w:name="ref-moshontz2018"/>
    <w:p>
      <w:pPr>
        <w:pStyle w:val="Literaturverzeichnis"/>
      </w:pPr>
      <w:r>
        <w:t xml:space="preserve">Moshontz, H., Campbell, L., Ebersole, C. R., IJzerman, H., Urry, H. L., Forscher, P. S.,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44">
        <w:r>
          <w:rPr>
            <w:rStyle w:val="Hyperlink"/>
          </w:rPr>
          <w:t xml:space="preserve">https://doi.org/10.1177/2515245918797607</w:t>
        </w:r>
      </w:hyperlink>
    </w:p>
    <w:bookmarkEnd w:id="145"/>
    <w:bookmarkStart w:id="147"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46">
        <w:r>
          <w:rPr>
            <w:rStyle w:val="Hyperlink"/>
          </w:rPr>
          <w:t xml:space="preserve">https://doi.org/10.1146/annurev-psych-122216-011836</w:t>
        </w:r>
      </w:hyperlink>
    </w:p>
    <w:bookmarkEnd w:id="147"/>
    <w:bookmarkStart w:id="149"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48">
        <w:r>
          <w:rPr>
            <w:rStyle w:val="Hyperlink"/>
          </w:rPr>
          <w:t xml:space="preserve">https://doi.org/10.1558/jcsr.38413</w:t>
        </w:r>
      </w:hyperlink>
    </w:p>
    <w:bookmarkEnd w:id="149"/>
    <w:bookmarkStart w:id="151" w:name="ref-nosek2015"/>
    <w:p>
      <w:pPr>
        <w:pStyle w:val="Literaturverzeichnis"/>
      </w:pPr>
      <w:r>
        <w:t xml:space="preserve">Nosek, B. A., Alter, G., Banks, G. C., Borsboom, D., Bowman, S. D., Breckler, S. J.,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50">
        <w:r>
          <w:rPr>
            <w:rStyle w:val="Hyperlink"/>
          </w:rPr>
          <w:t xml:space="preserve">https://doi.org/10.1126/science.aab2374</w:t>
        </w:r>
      </w:hyperlink>
    </w:p>
    <w:bookmarkEnd w:id="151"/>
    <w:bookmarkStart w:id="152" w:name="ref-nosek2014method"/>
    <w:p>
      <w:pPr>
        <w:pStyle w:val="Literaturverzeichnis"/>
      </w:pPr>
      <w:r>
        <w:t xml:space="preserve">Nosek, Brian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52"/>
    <w:bookmarkStart w:id="154" w:name="ref-nosek2014"/>
    <w:p>
      <w:pPr>
        <w:pStyle w:val="Literaturverzeichnis"/>
      </w:pPr>
      <w:r>
        <w:t xml:space="preserve">Nosek, Brian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53">
        <w:r>
          <w:rPr>
            <w:rStyle w:val="Hyperlink"/>
          </w:rPr>
          <w:t xml:space="preserve">https://doi.org/10.1027/1864-9335/a000192</w:t>
        </w:r>
      </w:hyperlink>
    </w:p>
    <w:bookmarkEnd w:id="154"/>
    <w:bookmarkStart w:id="156" w:name="ref-nosek2012"/>
    <w:p>
      <w:pPr>
        <w:pStyle w:val="Literaturverzeichnis"/>
      </w:pPr>
      <w:r>
        <w:t xml:space="preserve">Nosek, Brian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55">
        <w:r>
          <w:rPr>
            <w:rStyle w:val="Hyperlink"/>
          </w:rPr>
          <w:t xml:space="preserve">https://doi.org/10.1177/1745691612459058</w:t>
        </w:r>
      </w:hyperlink>
    </w:p>
    <w:bookmarkEnd w:id="156"/>
    <w:bookmarkStart w:id="157" w:name="ref-oed2016"/>
    <w:p>
      <w:pPr>
        <w:pStyle w:val="Literaturverzeichnis"/>
      </w:pPr>
      <w:r>
        <w:t xml:space="preserve">OED. (2016).</w:t>
      </w:r>
      <w:r>
        <w:t xml:space="preserve"> </w:t>
      </w:r>
      <w:r>
        <w:rPr>
          <w:iCs/>
          <w:i/>
        </w:rPr>
        <w:t xml:space="preserve">Collaboration</w:t>
      </w:r>
      <w:r>
        <w:t xml:space="preserve">. Oxford: Oxford University.</w:t>
      </w:r>
    </w:p>
    <w:bookmarkEnd w:id="157"/>
    <w:bookmarkStart w:id="159"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58">
        <w:r>
          <w:rPr>
            <w:rStyle w:val="Hyperlink"/>
          </w:rPr>
          <w:t xml:space="preserve">https://doi.org/10.1126/science.aac4716</w:t>
        </w:r>
      </w:hyperlink>
    </w:p>
    <w:bookmarkEnd w:id="159"/>
    <w:bookmarkStart w:id="161"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60">
        <w:r>
          <w:rPr>
            <w:rStyle w:val="Hyperlink"/>
          </w:rPr>
          <w:t xml:space="preserve">https://doi.org/10.1073/pnas.1721165115</w:t>
        </w:r>
      </w:hyperlink>
    </w:p>
    <w:bookmarkEnd w:id="161"/>
    <w:bookmarkStart w:id="163" w:name="ref-ramírez-castañeda2020"/>
    <w:p>
      <w:pPr>
        <w:pStyle w:val="Literaturverzeichnis"/>
      </w:pPr>
      <w:r>
        <w:t xml:space="preserve">Ramírez-Castañeda, V. (2020). Disadvantages in preparing and publishing scientific papers caused by the dominance of the English language in science: The case of Colombian researchers in biological sciences.</w:t>
      </w:r>
      <w:r>
        <w:t xml:space="preserve"> </w:t>
      </w:r>
      <w:r>
        <w:rPr>
          <w:iCs/>
          <w:i/>
        </w:rPr>
        <w:t xml:space="preserve">PLOS ONE</w:t>
      </w:r>
      <w:r>
        <w:t xml:space="preserve">,</w:t>
      </w:r>
      <w:r>
        <w:t xml:space="preserve"> </w:t>
      </w:r>
      <w:r>
        <w:rPr>
          <w:iCs/>
          <w:i/>
        </w:rPr>
        <w:t xml:space="preserve">15</w:t>
      </w:r>
      <w:r>
        <w:t xml:space="preserve">(9), e0238372.</w:t>
      </w:r>
      <w:r>
        <w:t xml:space="preserve"> </w:t>
      </w:r>
      <w:hyperlink r:id="rId162">
        <w:r>
          <w:rPr>
            <w:rStyle w:val="Hyperlink"/>
          </w:rPr>
          <w:t xml:space="preserve">https://doi.org/10.1371/journal.pone.0238372</w:t>
        </w:r>
      </w:hyperlink>
    </w:p>
    <w:bookmarkEnd w:id="163"/>
    <w:bookmarkStart w:id="164"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64"/>
    <w:bookmarkStart w:id="166" w:name="ref-siler2015"/>
    <w:p>
      <w:pPr>
        <w:pStyle w:val="Literaturverzeichnis"/>
      </w:pPr>
      <w:r>
        <w:t xml:space="preserve">Siler, K., Lee, K., &amp; Bero, L. (2015). Measuring the effectiveness of scientific gatekeeping.</w:t>
      </w:r>
      <w:r>
        <w:t xml:space="preserve"> </w:t>
      </w:r>
      <w:r>
        <w:rPr>
          <w:iCs/>
          <w:i/>
        </w:rPr>
        <w:t xml:space="preserve">Proceedings of the National Academy of Sciences</w:t>
      </w:r>
      <w:r>
        <w:t xml:space="preserve">,</w:t>
      </w:r>
      <w:r>
        <w:t xml:space="preserve"> </w:t>
      </w:r>
      <w:r>
        <w:rPr>
          <w:iCs/>
          <w:i/>
        </w:rPr>
        <w:t xml:space="preserve">112</w:t>
      </w:r>
      <w:r>
        <w:t xml:space="preserve">(2), 360–365.</w:t>
      </w:r>
      <w:r>
        <w:t xml:space="preserve"> </w:t>
      </w:r>
      <w:hyperlink r:id="rId165">
        <w:r>
          <w:rPr>
            <w:rStyle w:val="Hyperlink"/>
          </w:rPr>
          <w:t xml:space="preserve">https://doi.org/10.1073/pnas.1418218112</w:t>
        </w:r>
      </w:hyperlink>
    </w:p>
    <w:bookmarkEnd w:id="166"/>
    <w:bookmarkStart w:id="168" w:name="ref-sinatra2015"/>
    <w:p>
      <w:pPr>
        <w:pStyle w:val="Literaturverzeichnis"/>
      </w:pPr>
      <w:r>
        <w:t xml:space="preserve">Sinatra, R., Deville, P., Szell, M., Wang, D., &amp; Barabási, A.-L. (2015). A century of physics.</w:t>
      </w:r>
      <w:r>
        <w:t xml:space="preserve"> </w:t>
      </w:r>
      <w:r>
        <w:rPr>
          <w:iCs/>
          <w:i/>
        </w:rPr>
        <w:t xml:space="preserve">Nature Physics</w:t>
      </w:r>
      <w:r>
        <w:t xml:space="preserve">,</w:t>
      </w:r>
      <w:r>
        <w:t xml:space="preserve"> </w:t>
      </w:r>
      <w:r>
        <w:rPr>
          <w:iCs/>
          <w:i/>
        </w:rPr>
        <w:t xml:space="preserve">11</w:t>
      </w:r>
      <w:r>
        <w:t xml:space="preserve">(10), 791–796.</w:t>
      </w:r>
      <w:r>
        <w:t xml:space="preserve"> </w:t>
      </w:r>
      <w:hyperlink r:id="rId167">
        <w:r>
          <w:rPr>
            <w:rStyle w:val="Hyperlink"/>
          </w:rPr>
          <w:t xml:space="preserve">https://doi.org/10.1038/nphys3494</w:t>
        </w:r>
      </w:hyperlink>
    </w:p>
    <w:bookmarkEnd w:id="168"/>
    <w:bookmarkStart w:id="170" w:name="ref-skorb2020"/>
    <w:p>
      <w:pPr>
        <w:pStyle w:val="Literaturverzeichnis"/>
      </w:pPr>
      <w:r>
        <w:t xml:space="preserve">Skorb, L., Aczel, B., Bakos, B. E., Feinberg, L., Hałasa, E., Kauff, M.,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69">
        <w:r>
          <w:rPr>
            <w:rStyle w:val="Hyperlink"/>
          </w:rPr>
          <w:t xml:space="preserve">https://doi.org/10.1177/2515245920927643</w:t>
        </w:r>
      </w:hyperlink>
    </w:p>
    <w:bookmarkEnd w:id="170"/>
    <w:bookmarkStart w:id="172"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71">
        <w:r>
          <w:rPr>
            <w:rStyle w:val="Hyperlink"/>
          </w:rPr>
          <w:t xml:space="preserve">https://doi.org/10.1016/j.tics.2017.06.007</w:t>
        </w:r>
      </w:hyperlink>
    </w:p>
    <w:bookmarkEnd w:id="172"/>
    <w:bookmarkStart w:id="174"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73">
        <w:r>
          <w:rPr>
            <w:rStyle w:val="Hyperlink"/>
          </w:rPr>
          <w:t xml:space="preserve">https://doi.org/10.31219/osf.io/8v2n7</w:t>
        </w:r>
      </w:hyperlink>
    </w:p>
    <w:bookmarkEnd w:id="174"/>
    <w:bookmarkStart w:id="176" w:name="ref-vanbavel2022"/>
    <w:p>
      <w:pPr>
        <w:pStyle w:val="Literaturverzeichnis"/>
      </w:pPr>
      <w:r>
        <w:t xml:space="preserve">Van Bavel, J. J., Cichocka, A., Capraro, V., Sjåstad, H., Nezlek, J. B., Pavlović, T.,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75">
        <w:r>
          <w:rPr>
            <w:rStyle w:val="Hyperlink"/>
          </w:rPr>
          <w:t xml:space="preserve">https://doi.org/10.1038/s41467-021-27668-9</w:t>
        </w:r>
      </w:hyperlink>
    </w:p>
    <w:bookmarkEnd w:id="176"/>
    <w:bookmarkStart w:id="178"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77">
        <w:r>
          <w:rPr>
            <w:rStyle w:val="Hyperlink"/>
          </w:rPr>
          <w:t xml:space="preserve">https://doi.org/10.1177/09637214211067779</w:t>
        </w:r>
      </w:hyperlink>
    </w:p>
    <w:bookmarkEnd w:id="178"/>
    <w:bookmarkStart w:id="180" w:name="ref-wang2021"/>
    <w:p>
      <w:pPr>
        <w:pStyle w:val="Literaturverzeichnis"/>
      </w:pPr>
      <w:r>
        <w:t xml:space="preserve">Wang, K., Goldenberg, A., Dorison, C. A., Miller, J. K., Uusberg, A., Lerner, J. S.,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79">
        <w:r>
          <w:rPr>
            <w:rStyle w:val="Hyperlink"/>
          </w:rPr>
          <w:t xml:space="preserve">https://doi.org/10.1038/s41562-021-01173-x</w:t>
        </w:r>
      </w:hyperlink>
    </w:p>
    <w:bookmarkEnd w:id="180"/>
    <w:bookmarkStart w:id="182" w:name="ref-wuchty2007"/>
    <w:p>
      <w:pPr>
        <w:pStyle w:val="Literaturverzeichnis"/>
      </w:pPr>
      <w:r>
        <w:t xml:space="preserve">Wuchty, S., Jones, B. F., &amp; Uzzi, B. (2007). The increasing dominance of teams in production of knowledge.</w:t>
      </w:r>
      <w:r>
        <w:t xml:space="preserve"> </w:t>
      </w:r>
      <w:r>
        <w:rPr>
          <w:iCs/>
          <w:i/>
        </w:rPr>
        <w:t xml:space="preserve">Science</w:t>
      </w:r>
      <w:r>
        <w:t xml:space="preserve">,</w:t>
      </w:r>
      <w:r>
        <w:t xml:space="preserve"> </w:t>
      </w:r>
      <w:r>
        <w:rPr>
          <w:iCs/>
          <w:i/>
        </w:rPr>
        <w:t xml:space="preserve">316</w:t>
      </w:r>
      <w:r>
        <w:t xml:space="preserve">(5827), 1036–1039.</w:t>
      </w:r>
      <w:r>
        <w:t xml:space="preserve"> </w:t>
      </w:r>
      <w:hyperlink r:id="rId181">
        <w:r>
          <w:rPr>
            <w:rStyle w:val="Hyperlink"/>
          </w:rPr>
          <w:t xml:space="preserve">https://doi.org/10.1126/science.1136099</w:t>
        </w:r>
      </w:hyperlink>
    </w:p>
    <w:bookmarkEnd w:id="182"/>
    <w:bookmarkStart w:id="184" w:name="ref-xie2014"/>
    <w:p>
      <w:pPr>
        <w:pStyle w:val="Literaturverzeichnis"/>
      </w:pPr>
      <w:r>
        <w:t xml:space="preserve">Xie, Y. (2014).</w:t>
      </w:r>
      <w:r>
        <w:t xml:space="preserve"> </w:t>
      </w:r>
      <w:r>
        <w:t xml:space="preserve">“</w:t>
      </w:r>
      <w:r>
        <w:t xml:space="preserve">Undemocracy</w:t>
      </w:r>
      <w:r>
        <w:t xml:space="preserve">”</w:t>
      </w:r>
      <w:r>
        <w:t xml:space="preserve">: Inequalities in science.</w:t>
      </w:r>
      <w:r>
        <w:t xml:space="preserve"> </w:t>
      </w:r>
      <w:r>
        <w:rPr>
          <w:iCs/>
          <w:i/>
        </w:rPr>
        <w:t xml:space="preserve">Science</w:t>
      </w:r>
      <w:r>
        <w:t xml:space="preserve">,</w:t>
      </w:r>
      <w:r>
        <w:t xml:space="preserve"> </w:t>
      </w:r>
      <w:r>
        <w:rPr>
          <w:iCs/>
          <w:i/>
        </w:rPr>
        <w:t xml:space="preserve">344</w:t>
      </w:r>
      <w:r>
        <w:t xml:space="preserve">(6186), 809–810.</w:t>
      </w:r>
      <w:r>
        <w:t xml:space="preserve"> </w:t>
      </w:r>
      <w:hyperlink r:id="rId183">
        <w:r>
          <w:rPr>
            <w:rStyle w:val="Hyperlink"/>
          </w:rPr>
          <w:t xml:space="preserve">https://doi.org/10.1126/science.1252743</w:t>
        </w:r>
      </w:hyperlink>
    </w:p>
    <w:bookmarkEnd w:id="184"/>
    <w:bookmarkStart w:id="186" w:name="ref-yang2022"/>
    <w:p>
      <w:pPr>
        <w:pStyle w:val="Literaturverzeichnis"/>
      </w:pPr>
      <w:r>
        <w:t xml:space="preserve">Yang, Y., Tian, T. Y., Woodruff, T. K., Jones, B. F., &amp; Uzzi, B. (2022). Gender-diverse teams produce more novel and higher-impact scientific ideas.</w:t>
      </w:r>
      <w:r>
        <w:t xml:space="preserve"> </w:t>
      </w:r>
      <w:r>
        <w:rPr>
          <w:iCs/>
          <w:i/>
        </w:rPr>
        <w:t xml:space="preserve">Proceedings of the National Academy of Sciences</w:t>
      </w:r>
      <w:r>
        <w:t xml:space="preserve">,</w:t>
      </w:r>
      <w:r>
        <w:t xml:space="preserve"> </w:t>
      </w:r>
      <w:r>
        <w:rPr>
          <w:iCs/>
          <w:i/>
        </w:rPr>
        <w:t xml:space="preserve">119</w:t>
      </w:r>
      <w:r>
        <w:t xml:space="preserve">(36), e2200841119.</w:t>
      </w:r>
      <w:r>
        <w:t xml:space="preserve"> </w:t>
      </w:r>
      <w:hyperlink r:id="rId185">
        <w:r>
          <w:rPr>
            <w:rStyle w:val="Hyperlink"/>
          </w:rPr>
          <w:t xml:space="preserve">https://doi.org/10.1073/pnas.2200841119</w:t>
        </w:r>
      </w:hyperlink>
    </w:p>
    <w:bookmarkEnd w:id="186"/>
    <w:bookmarkStart w:id="188"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87">
        <w:r>
          <w:rPr>
            <w:rStyle w:val="Hyperlink"/>
          </w:rPr>
          <w:t xml:space="preserve">https://doi.org/10.1017/S0140525X17001972</w:t>
        </w:r>
      </w:hyperlink>
    </w:p>
    <w:bookmarkEnd w:id="188"/>
    <w:bookmarkEnd w:id="189"/>
    <w:p>
      <w:r>
        <w:br w:type="page"/>
      </w:r>
    </w:p>
    <w:bookmarkEnd w:id="190"/>
    <w:bookmarkStart w:id="191" w:name="appendix-appendix"/>
    <w:p>
      <w:pPr>
        <w:pStyle w:val="berschrift1"/>
      </w:pPr>
      <w:r>
        <w:t xml:space="preserve">(APPENDIX) Appendix</w:t>
      </w:r>
    </w:p>
    <w:bookmarkEnd w:id="191"/>
    <w:bookmarkStart w:id="204" w:name="supplemental-materials"/>
    <w:p>
      <w:pPr>
        <w:pStyle w:val="berschrift1"/>
      </w:pPr>
      <w:r>
        <w:t xml:space="preserve">Supplemental Materials</w:t>
      </w:r>
    </w:p>
    <w:bookmarkStart w:id="192" w:name="rq1-publisher-information.-1"/>
    <w:p>
      <w:pPr>
        <w:pStyle w:val="berschrift2"/>
      </w:pPr>
      <w:r>
        <w:t xml:space="preserve">RQ1: Publisher Information.</w:t>
      </w:r>
    </w:p>
    <w:p>
      <w:pPr>
        <w:pStyle w:val="FirstParagraph"/>
      </w:pPr>
      <w:r>
        <w:rPr>
          <w:bCs/>
          <w:b/>
        </w:rPr>
        <w:t xml:space="preserve">Number of Journals</w:t>
      </w:r>
      <w:r>
        <w:t xml:space="preserve">.</w:t>
      </w:r>
    </w:p>
    <w:p>
      <w:pPr>
        <w:pStyle w:val="Textkrper"/>
      </w:pPr>
      <w:r>
        <w:t xml:space="preserve">Table</w:t>
      </w:r>
      <w:r>
        <w:t xml:space="preserve"> </w:t>
      </w:r>
      <w:r>
        <w:t xml:space="preserve">1</w:t>
      </w:r>
      <w:r>
        <w:t xml:space="preserve"> </w:t>
      </w:r>
      <w:r>
        <w:t xml:space="preserve">indicates the SNIP values for BTS publications, while Table</w:t>
      </w:r>
      <w:r>
        <w:t xml:space="preserve"> </w:t>
      </w:r>
      <w:r>
        <w:t xml:space="preserve">2</w:t>
      </w:r>
      <w:r>
        <w:t xml:space="preserve">. The results from these tables indicate that impact values are slightly higher for BTS publications, while the overall median, minimum, and maximum are the same for each grouping.</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192"/>
    <w:bookmarkStart w:id="196" w:name="rq2-publication-information.-1"/>
    <w:p>
      <w:pPr>
        <w:pStyle w:val="berschrift2"/>
      </w:pPr>
      <w:r>
        <w:t xml:space="preserve">RQ2: Publication Information.</w:t>
      </w:r>
    </w:p>
    <w:p>
      <w:pPr>
        <w:pStyle w:val="FirstParagraph"/>
      </w:pPr>
      <w:r>
        <w:rPr>
          <w:bCs/>
          <w:b/>
        </w:rPr>
        <w:t xml:space="preserve">Keywords</w:t>
      </w:r>
      <w:r>
        <w:t xml:space="preserve">. Figure</w:t>
      </w:r>
      <w:r>
        <w:t xml:space="preserve"> </w:t>
      </w:r>
      <w:r>
        <w:t xml:space="preserve">9</w:t>
      </w:r>
      <w:r>
        <w:t xml:space="preserve"> </w:t>
      </w:r>
      <w:r>
        <w:t xml:space="preserve">indicates the most common keywords present for the BTS publications by subject area. The keywords were tokenized into single tokens. Keywords were then lowercased, and all stop words (for example, the, an, of, into, for) were removed. Finally, a frequency count of tokens was tabulated for each subject area, and this count is used to create the final word cloud presented.</w:t>
      </w:r>
    </w:p>
    <w:p>
      <w:pPr>
        <w:pStyle w:val="CaptionedFigure"/>
      </w:pPr>
      <w:r>
        <w:drawing>
          <wp:inline>
            <wp:extent cx="5969000" cy="3581400"/>
            <wp:effectExtent b="0" l="0" r="0" t="0"/>
            <wp:docPr descr="Figure 9.  Keyword Analysis for Each of the Four Subject Areas." title="" id="194" name="Picture"/>
            <a:graphic>
              <a:graphicData uri="http://schemas.openxmlformats.org/drawingml/2006/picture">
                <pic:pic>
                  <pic:nvPicPr>
                    <pic:cNvPr descr="manuscript_scopus_files/figure-docx/fig-keywords-1.png" id="195" name="Picture"/>
                    <pic:cNvPicPr>
                      <a:picLocks noChangeArrowheads="1" noChangeAspect="1"/>
                    </pic:cNvPicPr>
                  </pic:nvPicPr>
                  <pic:blipFill>
                    <a:blip r:embed="rId193"/>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9: Keyword Analysis for Each of the Four Subject Areas.</w:t>
      </w:r>
    </w:p>
    <w:bookmarkEnd w:id="196"/>
    <w:bookmarkStart w:id="203" w:name="rq3-authors"/>
    <w:p>
      <w:pPr>
        <w:pStyle w:val="berschrift2"/>
      </w:pPr>
      <w:r>
        <w:t xml:space="preserve">RQ3: Authors</w:t>
      </w:r>
    </w:p>
    <w:p>
      <w:pPr>
        <w:pStyle w:val="FirstParagraph"/>
      </w:pPr>
      <w:r>
        <w:rPr>
          <w:bCs/>
          <w:b/>
        </w:rPr>
        <w:t xml:space="preserve">Institution</w:t>
      </w:r>
      <w:r>
        <w:t xml:space="preserve">.</w:t>
      </w:r>
    </w:p>
    <w:p>
      <w:pPr>
        <w:pStyle w:val="Textkrper"/>
      </w:pPr>
      <w:r>
        <w:t xml:space="preserve">Institution was normalized by taking the total number of unique institutions and dividing by the total number of institution listings. The patterns are similar for each decade in that papers are often either half unique institutions or mostly unique institutions overall as show in Figure</w:t>
      </w:r>
      <w:r>
        <w:t xml:space="preserve"> </w:t>
      </w:r>
      <w:r>
        <w:t xml:space="preserve">10</w:t>
      </w:r>
      <w:r>
        <w:t xml:space="preserve">.</w:t>
      </w:r>
    </w:p>
    <w:p>
      <w:pPr>
        <w:pStyle w:val="CaptionedFigure"/>
      </w:pPr>
      <w:r>
        <w:drawing>
          <wp:inline>
            <wp:extent cx="5969000" cy="3581400"/>
            <wp:effectExtent b="0" l="0" r="0" t="0"/>
            <wp:docPr descr="Figure 10.  Number of unique institutions involved in big-team science papers across decades." title="" id="198" name="Picture"/>
            <a:graphic>
              <a:graphicData uri="http://schemas.openxmlformats.org/drawingml/2006/picture">
                <pic:pic>
                  <pic:nvPicPr>
                    <pic:cNvPr descr="manuscript_scopus_files/figure-docx/fig-inst-1.png" id="199" name="Picture"/>
                    <pic:cNvPicPr>
                      <a:picLocks noChangeArrowheads="1" noChangeAspect="1"/>
                    </pic:cNvPicPr>
                  </pic:nvPicPr>
                  <pic:blipFill>
                    <a:blip r:embed="rId19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10: Number of unique institutions involved in big-team science papers across decades.</w:t>
      </w:r>
    </w:p>
    <w:p>
      <w:pPr>
        <w:pStyle w:val="Textkrper"/>
      </w:pPr>
      <w:r>
        <w:rPr>
          <w:iCs/>
          <w:i/>
          <w:bCs/>
          <w:b/>
        </w:rPr>
        <w:t xml:space="preserve">Education</w:t>
      </w:r>
      <w:r>
        <w:t xml:space="preserve">. As noted in our pre-registration, we would only present this variable if we could obtain at least 50% information on the authors who publish in big team science papers. 95.83% of the data was not available.</w:t>
      </w:r>
    </w:p>
    <w:p>
      <w:pPr>
        <w:pStyle w:val="Textkrper"/>
      </w:pPr>
      <w:r>
        <w:rPr>
          <w:iCs/>
          <w:i/>
          <w:bCs/>
          <w:b/>
        </w:rPr>
        <w:t xml:space="preserve">Types of Publications</w:t>
      </w:r>
      <w:r>
        <w:t xml:space="preserve">.</w:t>
      </w:r>
    </w:p>
    <w:p>
      <w:pPr>
        <w:pStyle w:val="Textkrper"/>
      </w:pPr>
      <w:r>
        <w:t xml:space="preserve">Types of publications are presented in Figure</w:t>
      </w:r>
      <w:r>
        <w:t xml:space="preserve"> </w:t>
      </w:r>
      <w:r>
        <w:t xml:space="preserve">11</w:t>
      </w:r>
      <w:r>
        <w:t xml:space="preserve">. The patterns of publications are roughly similar for big team science authors and all authors. It appears that proportionally, big team members are more likely to post preprints in comparison to all authors.</w:t>
      </w:r>
    </w:p>
    <w:p>
      <w:pPr>
        <w:pStyle w:val="CaptionedFigure"/>
      </w:pPr>
      <w:r>
        <w:drawing>
          <wp:inline>
            <wp:extent cx="5969000" cy="3581400"/>
            <wp:effectExtent b="0" l="0" r="0" t="0"/>
            <wp:docPr descr="Figure 11.  Types of publications for big-team science and all authors." title="" id="201" name="Picture"/>
            <a:graphic>
              <a:graphicData uri="http://schemas.openxmlformats.org/drawingml/2006/picture">
                <pic:pic>
                  <pic:nvPicPr>
                    <pic:cNvPr descr="manuscript_scopus_files/figure-docx/fig-pub-types-1.png" id="202" name="Picture"/>
                    <pic:cNvPicPr>
                      <a:picLocks noChangeArrowheads="1" noChangeAspect="1"/>
                    </pic:cNvPicPr>
                  </pic:nvPicPr>
                  <pic:blipFill>
                    <a:blip r:embed="rId200"/>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t xml:space="preserve">Figure 11: Types of publications for big-team science and all authors.</w:t>
      </w:r>
    </w:p>
    <w:bookmarkEnd w:id="203"/>
    <w:bookmarkEnd w:id="2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197" Target="media/rId197.png" /><Relationship Type="http://schemas.openxmlformats.org/officeDocument/2006/relationships/image" Id="rId193" Target="media/rId193.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200" Target="media/rId200.png" /><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2023-08-16T03:01:14Z</dcterms:created>
  <dcterms:modified xsi:type="dcterms:W3CDTF">2023-08-16T03:01:14Z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/Library/Frameworks/R.framework/Versions/4.2-arm64/Resources/library/papaja/rmd/apa6.csl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Big Team Science</vt:lpwstr>
  </property>
  <property fmtid="{D5CDD505-2E9C-101B-9397-08002B2CF9AE}" pid="17" name="tablelist">
    <vt:lpwstr>False</vt:lpwstr>
  </property>
</Properties>
</file>