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76.png" ContentType="image/png"/>
  <Override PartName="/word/media/rId79.png" ContentType="image/png"/>
  <Override PartName="/word/media/rId64.png" ContentType="image/png"/>
  <Override PartName="/word/media/rId67.png" ContentType="image/png"/>
  <Override PartName="/word/media/rId70.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1.png" ContentType="image/png"/>
  <Override PartName="/word/media/rId73.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does</w:t>
      </w:r>
      <w:r>
        <w:t xml:space="preserve"> </w:t>
      </w:r>
      <w:r>
        <w:t xml:space="preserve">big</w:t>
      </w:r>
      <w:r>
        <w:t xml:space="preserve"> </w:t>
      </w:r>
      <w:r>
        <w:t xml:space="preserve">team</w:t>
      </w:r>
      <w:r>
        <w:t xml:space="preserve"> </w:t>
      </w:r>
      <w:r>
        <w:t xml:space="preserve">science?</w:t>
      </w:r>
    </w:p>
    <w:p>
      <w:pPr>
        <w:pStyle w:val="Author"/>
      </w:pPr>
      <w:r>
        <w:t xml:space="preserve">Erin M. Buchanan</w:t>
      </w:r>
      <w:r>
        <w:rPr>
          <w:vertAlign w:val="superscript"/>
        </w:rPr>
        <w:t xml:space="preserve">1</w:t>
      </w:r>
      <w:r>
        <w:t xml:space="preserve"> &amp; Savannah C. Lewis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Erin M. Buchanan is a Professor of Cognitive Analytics at Harrisburg University of Science and Technology. Savannah C. Lewis is a graduate student at the University of Alabama.</w:t>
      </w:r>
    </w:p>
    <w:p>
      <w:pPr>
        <w:pStyle w:val="Textkrper"/>
      </w:pPr>
      <w:r>
        <w:t xml:space="preserve">Thank you to Dwayne Lieck for providing an extensive list of large scale projects for this manuscript.</w:t>
      </w:r>
    </w:p>
    <w:p>
      <w:pPr>
        <w:pStyle w:val="Textkrper"/>
      </w:pPr>
      <w:r>
        <w:t xml:space="preserve">The authors made the following contributions. Erin M. Buchanan: Conceptualization, Data curation, Formal Analysis, Methodology, Project administration, Visualization, Writing – original draft, Writing – review &amp; editing; Savannah C. Lewis: Conceptualization, Data curation, Methodology, Project administration, Writing – original draft, Writing – review &amp; editing.</w:t>
      </w:r>
    </w:p>
    <w:p>
      <w:pPr>
        <w:pStyle w:val="Textkrper"/>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This paper will examine the nature of publications in Big Team Science (BTS) - large-scale collaborations between multiple researchers at multiple institutions. As interest in BTS increases, it is useful to explore who is currently involved in BTS projects to determine diversity in both research subject and researcher representation. The types of publication outlets, number of publications, and subject areas of publication will be presented to summarize the publications in BTS. Information about authors included in BTS will be presented including career length, numbers of publications/impact variables, education, and affiliation. Last, we will explore the representation of geopolitical regions by examining affiliation location to explore the impact of BTS on the de-WEIRD movement to diversify researcher representation.</w:t>
      </w:r>
    </w:p>
    <w:p>
      <w:pPr>
        <w:pStyle w:val="Textkrper"/>
      </w:pPr>
      <w:r>
        <w:rPr>
          <w:iCs/>
          <w:i/>
        </w:rPr>
        <w:t xml:space="preserve">Keywords:</w:t>
      </w:r>
      <w:r>
        <w:t xml:space="preserve"> </w:t>
      </w:r>
      <w:r>
        <w:t xml:space="preserve">big team, science, authorship, credit</w:t>
      </w:r>
    </w:p>
    <w:p>
      <w:pPr>
        <w:pStyle w:val="Textkrper"/>
      </w:pPr>
      <w:r>
        <w:rPr>
          <w:iCs/>
          <w:i/>
        </w:rPr>
        <w:t xml:space="preserve">Word count:</w:t>
      </w:r>
      <w:r>
        <w:t xml:space="preserve"> </w:t>
      </w:r>
      <w:r>
        <w:t xml:space="preserve">X</w:t>
      </w:r>
    </w:p>
    <w:p>
      <w:pPr>
        <w:pStyle w:val="h1-pagebreak"/>
      </w:pPr>
      <w:r>
        <w:t xml:space="preserve">Who does big team science?</w:t>
      </w:r>
    </w:p>
    <w:p>
      <w:pPr>
        <w:pStyle w:val="Textkrper"/>
      </w:pPr>
      <w:r>
        <w:t xml:space="preserve">According to the Oxford English dictionary, collaboration is two or more</w:t>
      </w:r>
      <w:r>
        <w:t xml:space="preserve"> </w:t>
      </w:r>
      <w:r>
        <w:t xml:space="preserve">people working together to achieve a certain goal</w:t>
      </w:r>
      <w:r>
        <w:t xml:space="preserve"> </w:t>
      </w:r>
      <w:r>
        <w:t xml:space="preserve">(OED, 2016)</w:t>
      </w:r>
      <w:r>
        <w:t xml:space="preserve">.</w:t>
      </w:r>
      <w:r>
        <w:t xml:space="preserve"> </w:t>
      </w:r>
      <w:r>
        <w:t xml:space="preserve">Collaboration in scientific endeavors involves multiple researchers at</w:t>
      </w:r>
      <w:r>
        <w:t xml:space="preserve"> </w:t>
      </w:r>
      <w:r>
        <w:t xml:space="preserve">(potentially) multiple institutions to communicate and work together to</w:t>
      </w:r>
      <w:r>
        <w:t xml:space="preserve"> </w:t>
      </w:r>
      <w:r>
        <w:t xml:space="preserve">advance knowledge in their chosen field. Collaboration can manifest</w:t>
      </w:r>
      <w:r>
        <w:t xml:space="preserve"> </w:t>
      </w:r>
      <w:r>
        <w:t xml:space="preserve">uniquely in each project dependent on the skill sets, hypotheses, and</w:t>
      </w:r>
      <w:r>
        <w:t xml:space="preserve"> </w:t>
      </w:r>
      <w:r>
        <w:t xml:space="preserve">perspectives of collaborators. While collaboration is not new in</w:t>
      </w:r>
      <w:r>
        <w:t xml:space="preserve"> </w:t>
      </w:r>
      <w:r>
        <w:t xml:space="preserve">science, the current interest of</w:t>
      </w:r>
      <w:r>
        <w:t xml:space="preserve"> </w:t>
      </w:r>
      <w:r>
        <w:t xml:space="preserve">“</w:t>
      </w:r>
      <w:r>
        <w:t xml:space="preserve">big team science</w:t>
      </w:r>
      <w:r>
        <w:t xml:space="preserve">”</w:t>
      </w:r>
      <w:r>
        <w:t xml:space="preserve"> </w:t>
      </w:r>
      <w:r>
        <w:t xml:space="preserve">is increasing</w:t>
      </w:r>
      <w:r>
        <w:t xml:space="preserve"> </w:t>
      </w:r>
      <w:r>
        <w:t xml:space="preserve">(Coles et al., 2022; Forscher et al., 2020; N. Stewart et al., 2017)</w:t>
      </w:r>
      <w:r>
        <w:t xml:space="preserve">. Big team science projects</w:t>
      </w:r>
      <w:r>
        <w:t xml:space="preserve"> </w:t>
      </w:r>
      <w:r>
        <w:t xml:space="preserve">and/or organizations utilize and run on large-scale collaboration to</w:t>
      </w:r>
      <w:r>
        <w:t xml:space="preserve"> </w:t>
      </w:r>
      <w:r>
        <w:t xml:space="preserve">ensure that diverse populations and ideas are brought into research</w:t>
      </w:r>
      <w:r>
        <w:t xml:space="preserve"> </w:t>
      </w:r>
      <w:r>
        <w:t xml:space="preserve">projects, which in turn allows for more reliability and generalizability</w:t>
      </w:r>
      <w:r>
        <w:t xml:space="preserve"> </w:t>
      </w:r>
      <w:r>
        <w:t xml:space="preserve">in the results and method of the study. For this study, Big Team Science</w:t>
      </w:r>
      <w:r>
        <w:t xml:space="preserve"> </w:t>
      </w:r>
      <w:r>
        <w:t xml:space="preserve">(BTS) will be defined as a collaboration of ten or more authors from at</w:t>
      </w:r>
      <w:r>
        <w:t xml:space="preserve"> </w:t>
      </w:r>
      <w:r>
        <w:t xml:space="preserve">least ten different institutions.</w:t>
      </w:r>
    </w:p>
    <w:p>
      <w:pPr>
        <w:pStyle w:val="Textkrper"/>
      </w:pPr>
      <w:r>
        <w:t xml:space="preserve">BTS appears to be increasing as a result of two sources: 1) increasing</w:t>
      </w:r>
      <w:r>
        <w:t xml:space="preserve"> </w:t>
      </w:r>
      <w:r>
        <w:t xml:space="preserve">globalization and technology that allows for real-time interdisciplinary</w:t>
      </w:r>
      <w:r>
        <w:t xml:space="preserve"> </w:t>
      </w:r>
      <w:r>
        <w:t xml:space="preserve">research, and 2) increasing interest in reproducibility, replication,</w:t>
      </w:r>
      <w:r>
        <w:t xml:space="preserve"> </w:t>
      </w:r>
      <w:r>
        <w:t xml:space="preserve">and generalizability</w:t>
      </w:r>
      <w:r>
        <w:t xml:space="preserve"> </w:t>
      </w:r>
      <w:r>
        <w:t xml:space="preserve">(Maxwell et al., 2015; Nelson et al., 2018; Zwaan et al., 2018)</w:t>
      </w:r>
      <w:r>
        <w:t xml:space="preserve">.</w:t>
      </w:r>
      <w:r>
        <w:t xml:space="preserve"> </w:t>
      </w:r>
      <w:r>
        <w:t xml:space="preserve">Technological advances have provided easier ways to collaborate with</w:t>
      </w:r>
      <w:r>
        <w:t xml:space="preserve"> </w:t>
      </w:r>
      <w:r>
        <w:t xml:space="preserve">people who are from other universities and countries through document</w:t>
      </w:r>
      <w:r>
        <w:t xml:space="preserve"> </w:t>
      </w:r>
      <w:r>
        <w:t xml:space="preserve">sharing platforms (e.g., Google, GitHub, and the Open Science</w:t>
      </w:r>
      <w:r>
        <w:t xml:space="preserve"> </w:t>
      </w:r>
      <w:r>
        <w:t xml:space="preserve">Framework), video chatting platforms (e.g., Zoom, Microsoft Teams), and</w:t>
      </w:r>
      <w:r>
        <w:t xml:space="preserve"> </w:t>
      </w:r>
      <w:r>
        <w:t xml:space="preserve">messaging and project management platforms (e.g., Slack, Trello,</w:t>
      </w:r>
      <w:r>
        <w:t xml:space="preserve"> </w:t>
      </w:r>
      <w:r>
        <w:t xml:space="preserve">when2meet, etc.). The credibility movement seems to suggest that by</w:t>
      </w:r>
      <w:r>
        <w:t xml:space="preserve"> </w:t>
      </w:r>
      <w:r>
        <w:t xml:space="preserve">having both collaborations that span across the globe and subfield of</w:t>
      </w:r>
      <w:r>
        <w:t xml:space="preserve"> </w:t>
      </w:r>
      <w:r>
        <w:t xml:space="preserve">psychology, age groups, and education levels should help to drive</w:t>
      </w:r>
      <w:r>
        <w:t xml:space="preserve"> </w:t>
      </w:r>
      <w:r>
        <w:t xml:space="preserve">psychological science in the path of better materials, reliability,</w:t>
      </w:r>
      <w:r>
        <w:t xml:space="preserve"> </w:t>
      </w:r>
      <w:r>
        <w:t xml:space="preserve">generalizability and more robust sample size in a study</w:t>
      </w:r>
      <w:r>
        <w:t xml:space="preserve"> </w:t>
      </w:r>
      <w:r>
        <w:t xml:space="preserve">(Auspurg &amp; Brüderl, 2021; LeBel et al., 2018; Nosek &amp; Lakens, 2014b)</w:t>
      </w:r>
      <w:r>
        <w:t xml:space="preserve">.</w:t>
      </w:r>
    </w:p>
    <w:p>
      <w:pPr>
        <w:pStyle w:val="Textkrper"/>
      </w:pPr>
      <w:r>
        <w:t xml:space="preserve">The credibility movement was originally defined by a focus on large</w:t>
      </w:r>
      <w:r>
        <w:t xml:space="preserve"> </w:t>
      </w:r>
      <w:r>
        <w:t xml:space="preserve">scale replications using in collaborative environments</w:t>
      </w:r>
      <w:r>
        <w:t xml:space="preserve"> </w:t>
      </w:r>
      <w:r>
        <w:t xml:space="preserve">(Vazire et al., 2022)</w:t>
      </w:r>
      <w:r>
        <w:t xml:space="preserve">.</w:t>
      </w:r>
      <w:r>
        <w:t xml:space="preserve"> </w:t>
      </w:r>
      <w:r>
        <w:t xml:space="preserve">Generally, the movement has been driven by early career researchers</w:t>
      </w:r>
      <w:r>
        <w:t xml:space="preserve"> </w:t>
      </w:r>
      <w:r>
        <w:t xml:space="preserve">(i.e., those who are within five years of their first appointment)</w:t>
      </w:r>
      <w:r>
        <w:t xml:space="preserve"> </w:t>
      </w:r>
      <w:r>
        <w:t xml:space="preserve">(Maizey &amp; Tzavella, 2019)</w:t>
      </w:r>
      <w:r>
        <w:t xml:space="preserve">; however, there are no large meta-scientific</w:t>
      </w:r>
      <w:r>
        <w:t xml:space="preserve"> </w:t>
      </w:r>
      <w:r>
        <w:t xml:space="preserve">investigations on this specific topic to date. Potentially, the lack of</w:t>
      </w:r>
      <w:r>
        <w:t xml:space="preserve"> </w:t>
      </w:r>
      <w:r>
        <w:t xml:space="preserve">investigation is tied to the newness of the large-scale research in many</w:t>
      </w:r>
      <w:r>
        <w:t xml:space="preserve"> </w:t>
      </w:r>
      <w:r>
        <w:t xml:space="preserve">fields, as it is only in recent years that publications like the Open</w:t>
      </w:r>
      <w:r>
        <w:t xml:space="preserve"> </w:t>
      </w:r>
      <w:r>
        <w:t xml:space="preserve">Science Collaboration</w:t>
      </w:r>
      <w:r>
        <w:t xml:space="preserve"> </w:t>
      </w:r>
      <w:r>
        <w:t xml:space="preserve">(Open Science Collaboration, 2015)</w:t>
      </w:r>
      <w:r>
        <w:t xml:space="preserve">, Many Labs</w:t>
      </w:r>
      <w:r>
        <w:t xml:space="preserve"> </w:t>
      </w:r>
      <w:r>
        <w:t xml:space="preserve">Collaborations</w:t>
      </w:r>
      <w:r>
        <w:t xml:space="preserve"> </w:t>
      </w:r>
      <w:r>
        <w:t xml:space="preserve">(Buttrick et al., 2020; Ebersole et al., 2020, 2016; Klein et al., 2022; for example, Klein et al., 2018; Mathur et al., 2020; Skorb et al., 2020)</w:t>
      </w:r>
      <w:r>
        <w:t xml:space="preserve"> </w:t>
      </w:r>
      <w:r>
        <w:t xml:space="preserve">or the first papers</w:t>
      </w:r>
      <w:r>
        <w:t xml:space="preserve"> </w:t>
      </w:r>
      <w:r>
        <w:t xml:space="preserve">from the Psychological Science Accelerator</w:t>
      </w:r>
      <w:r>
        <w:t xml:space="preserve"> </w:t>
      </w:r>
      <w:r>
        <w:t xml:space="preserve">(Bago et al., 2022; Dorison et al., 2022; Jones et al., 2021; Legate et al., 2022; Moshontz et al., 2018; Wang et al., 2021)</w:t>
      </w:r>
      <w:r>
        <w:t xml:space="preserve">. Generally, the</w:t>
      </w:r>
      <w:r>
        <w:t xml:space="preserve"> </w:t>
      </w:r>
      <w:r>
        <w:t xml:space="preserve">researcher incentive for replication was low: journals often prioritize</w:t>
      </w:r>
      <w:r>
        <w:t xml:space="preserve"> </w:t>
      </w:r>
      <w:r>
        <w:t xml:space="preserve">“</w:t>
      </w:r>
      <w:r>
        <w:t xml:space="preserve">novel</w:t>
      </w:r>
      <w:r>
        <w:t xml:space="preserve">”</w:t>
      </w:r>
      <w:r>
        <w:t xml:space="preserve"> </w:t>
      </w:r>
      <w:r>
        <w:t xml:space="preserve">or new results which led to rejection of replication manuscripts</w:t>
      </w:r>
      <w:r>
        <w:t xml:space="preserve"> </w:t>
      </w:r>
      <w:r>
        <w:t xml:space="preserve">and publication bias</w:t>
      </w:r>
      <w:r>
        <w:t xml:space="preserve"> </w:t>
      </w:r>
      <w:r>
        <w:t xml:space="preserve">(Franco et al., 2014; Hubbard &amp; Armstrong, 1997; Nosek et al., 2012)</w:t>
      </w:r>
      <w:r>
        <w:t xml:space="preserve">, the</w:t>
      </w:r>
      <w:r>
        <w:t xml:space="preserve"> </w:t>
      </w:r>
      <w:r>
        <w:t xml:space="preserve">“</w:t>
      </w:r>
      <w:r>
        <w:t xml:space="preserve">failure</w:t>
      </w:r>
      <w:r>
        <w:t xml:space="preserve">”</w:t>
      </w:r>
      <w:r>
        <w:t xml:space="preserve"> </w:t>
      </w:r>
      <w:r>
        <w:t xml:space="preserve">to replicate was often placed on the replication team as</w:t>
      </w:r>
      <w:r>
        <w:t xml:space="preserve"> </w:t>
      </w:r>
      <w:r>
        <w:t xml:space="preserve">“</w:t>
      </w:r>
      <w:r>
        <w:t xml:space="preserve">bad</w:t>
      </w:r>
      <w:r>
        <w:t xml:space="preserve"> </w:t>
      </w:r>
      <w:r>
        <w:t xml:space="preserve">science</w:t>
      </w:r>
      <w:r>
        <w:t xml:space="preserve">”</w:t>
      </w:r>
      <w:r>
        <w:t xml:space="preserve"> </w:t>
      </w:r>
      <w:r>
        <w:t xml:space="preserve">rather than a careful consideration of publication biases and</w:t>
      </w:r>
      <w:r>
        <w:t xml:space="preserve"> </w:t>
      </w:r>
      <w:r>
        <w:t xml:space="preserve">(potential) questionable research practices</w:t>
      </w:r>
      <w:r>
        <w:t xml:space="preserve"> </w:t>
      </w:r>
      <w:r>
        <w:t xml:space="preserve">(Ioannidis, 2015; Klein et al., 2022; Maxwell et al., 2015)</w:t>
      </w:r>
      <w:r>
        <w:t xml:space="preserve">, and why should someone want to spend time and</w:t>
      </w:r>
      <w:r>
        <w:t xml:space="preserve"> </w:t>
      </w:r>
      <w:r>
        <w:t xml:space="preserve">resources on an answer we already</w:t>
      </w:r>
      <w:r>
        <w:t xml:space="preserve"> </w:t>
      </w:r>
      <w:r>
        <w:t xml:space="preserve">“</w:t>
      </w:r>
      <w:r>
        <w:t xml:space="preserve">know</w:t>
      </w:r>
      <w:r>
        <w:t xml:space="preserve">”</w:t>
      </w:r>
      <w:r>
        <w:t xml:space="preserve"> </w:t>
      </w:r>
      <w:r>
        <w:t xml:space="preserve">(Isager et al., 2021a, 2021b)</w:t>
      </w:r>
      <w:r>
        <w:t xml:space="preserve">?</w:t>
      </w:r>
    </w:p>
    <w:p>
      <w:pPr>
        <w:pStyle w:val="Textkrper"/>
      </w:pPr>
      <w:r>
        <w:t xml:space="preserve">However, the success and interest in the large-scale reproducibility</w:t>
      </w:r>
      <w:r>
        <w:t xml:space="preserve"> </w:t>
      </w:r>
      <w:r>
        <w:t xml:space="preserve">projects</w:t>
      </w:r>
      <w:r>
        <w:t xml:space="preserve"> </w:t>
      </w:r>
      <w:r>
        <w:t xml:space="preserve">(Errington et al., 2021; Open Science Collaboration, 2015)</w:t>
      </w:r>
      <w:r>
        <w:t xml:space="preserve">, paired</w:t>
      </w:r>
      <w:r>
        <w:t xml:space="preserve"> </w:t>
      </w:r>
      <w:r>
        <w:t xml:space="preserve">with the meta-scientific publications focusing on researcher practices</w:t>
      </w:r>
      <w:r>
        <w:t xml:space="preserve"> </w:t>
      </w:r>
      <w:r>
        <w:t xml:space="preserve">and incentive structures</w:t>
      </w:r>
      <w:r>
        <w:t xml:space="preserve"> </w:t>
      </w:r>
      <w:r>
        <w:t xml:space="preserve">(John et al., 2012; Silberzahn et al., 2018)</w:t>
      </w:r>
      <w:r>
        <w:t xml:space="preserve"> </w:t>
      </w:r>
      <w:r>
        <w:t xml:space="preserve">led to a</w:t>
      </w:r>
      <w:r>
        <w:t xml:space="preserve"> </w:t>
      </w:r>
      <w:r>
        <w:t xml:space="preserve">change in journal guidelines and incentives for researchers interested</w:t>
      </w:r>
      <w:r>
        <w:t xml:space="preserve"> </w:t>
      </w:r>
      <w:r>
        <w:t xml:space="preserve">in participating in large-scale replication studies</w:t>
      </w:r>
      <w:r>
        <w:t xml:space="preserve"> </w:t>
      </w:r>
      <w:r>
        <w:t xml:space="preserve">(Grahe, 2014; Kidwell et al., 2016; Mayo-Wilson et al., 2021; Nosek et al., 2015)</w:t>
      </w:r>
      <w:r>
        <w:t xml:space="preserve">. For example, the support</w:t>
      </w:r>
      <w:r>
        <w:t xml:space="preserve"> </w:t>
      </w:r>
      <w:r>
        <w:t xml:space="preserve">for Registered Reports, papers accepted before the data has been</w:t>
      </w:r>
      <w:r>
        <w:t xml:space="preserve"> </w:t>
      </w:r>
      <w:r>
        <w:t xml:space="preserve">collected</w:t>
      </w:r>
      <w:r>
        <w:t xml:space="preserve"> </w:t>
      </w:r>
      <w:r>
        <w:t xml:space="preserve">(Nosek &amp; Lakens, 2014a; S. Stewart et al., 2020)</w:t>
      </w:r>
      <w:r>
        <w:t xml:space="preserve">, and entire sub-sections of</w:t>
      </w:r>
      <w:r>
        <w:t xml:space="preserve"> </w:t>
      </w:r>
      <w:r>
        <w:t xml:space="preserve">journals devoted to only replication studies (e.g.,</w:t>
      </w:r>
      <w:r>
        <w:t xml:space="preserve"> </w:t>
      </w:r>
      <w:r>
        <w:rPr>
          <w:iCs/>
          <w:i/>
        </w:rPr>
        <w:t xml:space="preserve">Nature, Royal</w:t>
      </w:r>
      <w:r>
        <w:rPr>
          <w:iCs/>
          <w:i/>
        </w:rPr>
        <w:t xml:space="preserve"> </w:t>
      </w:r>
      <w:r>
        <w:rPr>
          <w:iCs/>
          <w:i/>
        </w:rPr>
        <w:t xml:space="preserve">Society Open Science, Advances in Methods and Practices in Psychological</w:t>
      </w:r>
      <w:r>
        <w:rPr>
          <w:iCs/>
          <w:i/>
        </w:rPr>
        <w:t xml:space="preserve"> </w:t>
      </w:r>
      <w:r>
        <w:rPr>
          <w:iCs/>
          <w:i/>
        </w:rPr>
        <w:t xml:space="preserve">Science</w:t>
      </w:r>
      <w:r>
        <w:t xml:space="preserve">) has allowed researchers to invest in projects that they know</w:t>
      </w:r>
      <w:r>
        <w:t xml:space="preserve"> </w:t>
      </w:r>
      <w:r>
        <w:t xml:space="preserve">should be published when the project is complete. Further, the</w:t>
      </w:r>
      <w:r>
        <w:t xml:space="preserve"> </w:t>
      </w:r>
      <w:r>
        <w:t xml:space="preserve">implementation of the Transparency and Openness Guidelines</w:t>
      </w:r>
      <w:r>
        <w:t xml:space="preserve"> </w:t>
      </w:r>
      <w:r>
        <w:t xml:space="preserve">(Nosek et al., 2015)</w:t>
      </w:r>
      <w:r>
        <w:t xml:space="preserve"> </w:t>
      </w:r>
      <w:r>
        <w:t xml:space="preserve">and the Contributor Role Taxonomy (CRediT) system</w:t>
      </w:r>
      <w:r>
        <w:t xml:space="preserve"> </w:t>
      </w:r>
      <w:r>
        <w:t xml:space="preserve">(Allen et al., 2019)</w:t>
      </w:r>
      <w:r>
        <w:t xml:space="preserve"> </w:t>
      </w:r>
      <w:r>
        <w:t xml:space="preserve">have</w:t>
      </w:r>
      <w:r>
        <w:t xml:space="preserve"> </w:t>
      </w:r>
      <w:r>
        <w:t xml:space="preserve">pushed journals and researchers to promote more open, inclusive</w:t>
      </w:r>
      <w:r>
        <w:t xml:space="preserve"> </w:t>
      </w:r>
      <w:r>
        <w:t xml:space="preserve">publication practices.</w:t>
      </w:r>
    </w:p>
    <w:p>
      <w:pPr>
        <w:pStyle w:val="Textkrper"/>
      </w:pPr>
      <w:r>
        <w:t xml:space="preserve">The credibility movement has been mirrored by the calls for</w:t>
      </w:r>
      <w:r>
        <w:t xml:space="preserve"> </w:t>
      </w:r>
      <w:r>
        <w:t xml:space="preserve">diversification or de-WEIRDing (e.g., Western, Educated, Industrialized,</w:t>
      </w:r>
      <w:r>
        <w:t xml:space="preserve"> </w:t>
      </w:r>
      <w:r>
        <w:t xml:space="preserve">Rich, and Democratic) scientific research</w:t>
      </w:r>
      <w:r>
        <w:t xml:space="preserve"> </w:t>
      </w:r>
      <w:r>
        <w:t xml:space="preserve">(Henrich et al., 2010; Newson et al., 2021; Rad et al., 2018)</w:t>
      </w:r>
      <w:r>
        <w:t xml:space="preserve"> </w:t>
      </w:r>
      <w:r>
        <w:t xml:space="preserve">by improving representation in research samples. Like the</w:t>
      </w:r>
      <w:r>
        <w:t xml:space="preserve"> </w:t>
      </w:r>
      <w:r>
        <w:t xml:space="preserve">large-scale studies in Physics</w:t>
      </w:r>
      <w:r>
        <w:t xml:space="preserve"> </w:t>
      </w:r>
      <w:r>
        <w:t xml:space="preserve">(</w:t>
      </w:r>
      <w:r>
        <w:t xml:space="preserve">“A Philosophical Case for Big Physics,”</w:t>
      </w:r>
      <w:r>
        <w:t xml:space="preserve"> </w:t>
      </w:r>
      <w:r>
        <w:t xml:space="preserve">2021; Castelnovo et al., 2018)</w:t>
      </w:r>
      <w:r>
        <w:t xml:space="preserve"> </w:t>
      </w:r>
      <w:r>
        <w:t xml:space="preserve">and</w:t>
      </w:r>
      <w:r>
        <w:t xml:space="preserve"> </w:t>
      </w:r>
      <w:r>
        <w:t xml:space="preserve">Biology</w:t>
      </w:r>
      <w:r>
        <w:t xml:space="preserve"> </w:t>
      </w:r>
      <w:r>
        <w:t xml:space="preserve">(Collins et al., 2003)</w:t>
      </w:r>
      <w:r>
        <w:t xml:space="preserve">, the social sciences struggle to represent the</w:t>
      </w:r>
      <w:r>
        <w:t xml:space="preserve"> </w:t>
      </w:r>
      <w:r>
        <w:t xml:space="preserve">breadth of humanity across both researcher and population</w:t>
      </w:r>
      <w:r>
        <w:t xml:space="preserve"> </w:t>
      </w:r>
      <w:r>
        <w:t xml:space="preserve">characteristics. Now, grassroots organizations, such as the</w:t>
      </w:r>
      <w:r>
        <w:t xml:space="preserve"> </w:t>
      </w:r>
      <w:r>
        <w:t xml:space="preserve">Psychological Science Accelerator</w:t>
      </w:r>
      <w:r>
        <w:t xml:space="preserve"> </w:t>
      </w:r>
      <w:r>
        <w:t xml:space="preserve">(Moshontz et al., 2018)</w:t>
      </w:r>
      <w:r>
        <w:t xml:space="preserve">, ManyBabies</w:t>
      </w:r>
      <w:r>
        <w:t xml:space="preserve"> </w:t>
      </w:r>
      <w:r>
        <w:t xml:space="preserve">(</w:t>
      </w:r>
      <w:hyperlink r:id="rId21">
        <w:r>
          <w:rPr>
            <w:rStyle w:val="Hyperlink"/>
          </w:rPr>
          <w:t xml:space="preserve">https://manybabies.github.io/</w:t>
        </w:r>
      </w:hyperlink>
      <w:r>
        <w:t xml:space="preserve">), NutNet (</w:t>
      </w:r>
      <w:hyperlink r:id="rId22">
        <w:r>
          <w:rPr>
            <w:rStyle w:val="Hyperlink"/>
          </w:rPr>
          <w:t xml:space="preserve">https://nutnet.org/</w:t>
        </w:r>
      </w:hyperlink>
      <w:r>
        <w:t xml:space="preserve">), and</w:t>
      </w:r>
      <w:r>
        <w:t xml:space="preserve"> </w:t>
      </w:r>
      <w:r>
        <w:t xml:space="preserve">DRAGNet (</w:t>
      </w:r>
      <w:hyperlink r:id="rId23">
        <w:r>
          <w:rPr>
            <w:rStyle w:val="Hyperlink"/>
          </w:rPr>
          <w:t xml:space="preserve">https://dragnetglobal.weebly.com/</w:t>
        </w:r>
      </w:hyperlink>
      <w:r>
        <w:t xml:space="preserve">) can begin to tackle these</w:t>
      </w:r>
      <w:r>
        <w:t xml:space="preserve"> </w:t>
      </w:r>
      <w:r>
        <w:t xml:space="preserve">issues by recruiting research labs from all over the globe to provide</w:t>
      </w:r>
      <w:r>
        <w:t xml:space="preserve"> </w:t>
      </w:r>
      <w:r>
        <w:t xml:space="preserve">diversity in geographic, linguistic, and researcher representation.</w:t>
      </w:r>
      <w:r>
        <w:t xml:space="preserve"> </w:t>
      </w:r>
      <w:r>
        <w:t xml:space="preserve">Publications have examined the global understanding of morality, face</w:t>
      </w:r>
      <w:r>
        <w:t xml:space="preserve"> </w:t>
      </w:r>
      <w:r>
        <w:t xml:space="preserve">processing, COVID-19 information signaling, and more</w:t>
      </w:r>
      <w:r>
        <w:t xml:space="preserve"> </w:t>
      </w:r>
      <w:r>
        <w:t xml:space="preserve">(Bago et al., 2022; Dorison et al., 2022; Jones et al., 2021; Legate et al., 2022; Van Bavel et al., 2022; Wang et al., 2021)</w:t>
      </w:r>
      <w:r>
        <w:t xml:space="preserve">. While</w:t>
      </w:r>
      <w:r>
        <w:t xml:space="preserve"> </w:t>
      </w:r>
      <w:r>
        <w:t xml:space="preserve">these organizations and one-time groups for BTS studies have provided an</w:t>
      </w:r>
      <w:r>
        <w:t xml:space="preserve"> </w:t>
      </w:r>
      <w:r>
        <w:t xml:space="preserve">incredible wealth of data for the scientific community, we do not yet</w:t>
      </w:r>
      <w:r>
        <w:t xml:space="preserve"> </w:t>
      </w:r>
      <w:r>
        <w:t xml:space="preserve">know exactly</w:t>
      </w:r>
      <w:r>
        <w:t xml:space="preserve"> </w:t>
      </w:r>
      <w:r>
        <w:rPr>
          <w:iCs/>
          <w:i/>
        </w:rPr>
        <w:t xml:space="preserve">who</w:t>
      </w:r>
      <w:r>
        <w:t xml:space="preserve"> </w:t>
      </w:r>
      <w:r>
        <w:t xml:space="preserve">is involved with, and benefits from, the BTS and</w:t>
      </w:r>
      <w:r>
        <w:t xml:space="preserve"> </w:t>
      </w:r>
      <w:r>
        <w:t xml:space="preserve">credibility movement. Publications on BTS generally explore challenges,</w:t>
      </w:r>
      <w:r>
        <w:t xml:space="preserve"> </w:t>
      </w:r>
      <w:r>
        <w:t xml:space="preserve">lessons learned, and the need for BTS</w:t>
      </w:r>
      <w:r>
        <w:t xml:space="preserve"> </w:t>
      </w:r>
      <w:r>
        <w:t xml:space="preserve">(Coles et al., 2022; Forscher et al., 2020)</w:t>
      </w:r>
      <w:r>
        <w:t xml:space="preserve">.</w:t>
      </w:r>
    </w:p>
    <w:p>
      <w:pPr>
        <w:pStyle w:val="Textkrper"/>
      </w:pPr>
      <w:r>
        <w:t xml:space="preserve">Therefore, the goal of this manuscript is to examine the</w:t>
      </w:r>
      <w:r>
        <w:t xml:space="preserve"> </w:t>
      </w:r>
      <w:r>
        <w:rPr>
          <w:iCs/>
          <w:i/>
        </w:rPr>
        <w:t xml:space="preserve">people</w:t>
      </w:r>
      <w:r>
        <w:t xml:space="preserve"> </w:t>
      </w:r>
      <w:r>
        <w:t xml:space="preserve">involved in BTS projects. We specifically expect to examine ICSR’s</w:t>
      </w:r>
      <w:r>
        <w:t xml:space="preserve"> </w:t>
      </w:r>
      <w:r>
        <w:t xml:space="preserve">Research Themes of inclusivity, research careers, and research</w:t>
      </w:r>
      <w:r>
        <w:t xml:space="preserve"> </w:t>
      </w:r>
      <w:r>
        <w:t xml:space="preserve">globalization. As we examine these themes, it will bring new knowledge</w:t>
      </w:r>
      <w:r>
        <w:t xml:space="preserve"> </w:t>
      </w:r>
      <w:r>
        <w:t xml:space="preserve">of how BTS projects impact each theme and field of study. We see an</w:t>
      </w:r>
      <w:r>
        <w:t xml:space="preserve"> </w:t>
      </w:r>
      <w:r>
        <w:t xml:space="preserve">increase in interest and publications in BTS but we do not yet know if</w:t>
      </w:r>
      <w:r>
        <w:t xml:space="preserve"> </w:t>
      </w:r>
      <w:r>
        <w:t xml:space="preserve">this uptick in large-scale projects has diversified the</w:t>
      </w:r>
      <w:r>
        <w:t xml:space="preserve"> </w:t>
      </w:r>
      <w:r>
        <w:rPr>
          <w:iCs/>
          <w:i/>
        </w:rPr>
        <w:t xml:space="preserve">people</w:t>
      </w:r>
      <w:r>
        <w:t xml:space="preserve"> </w:t>
      </w:r>
      <w:r>
        <w:t xml:space="preserve">involved in BTS. While a few publications have noted that BTS appears to</w:t>
      </w:r>
      <w:r>
        <w:t xml:space="preserve"> </w:t>
      </w:r>
      <w:r>
        <w:t xml:space="preserve">be early career researchers</w:t>
      </w:r>
      <w:r>
        <w:t xml:space="preserve"> </w:t>
      </w:r>
      <w:r>
        <w:t xml:space="preserve">(Maizey &amp; Tzavella, 2019)</w:t>
      </w:r>
      <w:r>
        <w:t xml:space="preserve">, no one has systematically</w:t>
      </w:r>
      <w:r>
        <w:t xml:space="preserve"> </w:t>
      </w:r>
      <w:r>
        <w:t xml:space="preserve">investigated this perception. Further, it is unclear if the focus of</w:t>
      </w:r>
      <w:r>
        <w:t xml:space="preserve"> </w:t>
      </w:r>
      <w:r>
        <w:t xml:space="preserve">de-WEIRDing science has only focused on the representation of the</w:t>
      </w:r>
      <w:r>
        <w:t xml:space="preserve"> </w:t>
      </w:r>
      <w:r>
        <w:t xml:space="preserve">research participants or if it has also improved the representation of</w:t>
      </w:r>
      <w:r>
        <w:t xml:space="preserve"> </w:t>
      </w:r>
      <w:r>
        <w:t xml:space="preserve">researchers outside of North America and Europe. Last, who runs these</w:t>
      </w:r>
      <w:r>
        <w:t xml:space="preserve"> </w:t>
      </w:r>
      <w:r>
        <w:t xml:space="preserve">BTS projects? Do we see an increase in diversity for the authors who</w:t>
      </w:r>
      <w:r>
        <w:t xml:space="preserve"> </w:t>
      </w:r>
      <w:r>
        <w:t xml:space="preserve">generally receive the most credit for these projects (i.e., first</w:t>
      </w:r>
      <w:r>
        <w:t xml:space="preserve"> </w:t>
      </w:r>
      <w:r>
        <w:t xml:space="preserve">several author(s) and last author)? As hiring and promoting practices</w:t>
      </w:r>
      <w:r>
        <w:t xml:space="preserve"> </w:t>
      </w:r>
      <w:r>
        <w:t xml:space="preserve">often place a heavy weight on publications and especially</w:t>
      </w:r>
      <w:r>
        <w:t xml:space="preserve"> </w:t>
      </w:r>
      <w:r>
        <w:t xml:space="preserve">“</w:t>
      </w:r>
      <w:r>
        <w:t xml:space="preserve">influential</w:t>
      </w:r>
      <w:r>
        <w:t xml:space="preserve">”</w:t>
      </w:r>
      <w:r>
        <w:t xml:space="preserve"> </w:t>
      </w:r>
      <w:r>
        <w:t xml:space="preserve">publications, it becomes necessary to critically examine the</w:t>
      </w:r>
      <w:r>
        <w:t xml:space="preserve"> </w:t>
      </w:r>
      <w:r>
        <w:t xml:space="preserve">representation present in authorship in BTS projects.</w:t>
      </w:r>
    </w:p>
    <w:bookmarkStart w:id="24" w:name="potential-outlets"/>
    <w:p>
      <w:pPr>
        <w:pStyle w:val="berschrift1"/>
      </w:pPr>
      <w:r>
        <w:t xml:space="preserve">Potential Outlets</w:t>
      </w:r>
    </w:p>
    <w:p>
      <w:pPr>
        <w:pStyle w:val="FirstParagraph"/>
      </w:pPr>
      <w:r>
        <w:t xml:space="preserve">We will aim for high impact broad scope journals such as</w:t>
      </w:r>
      <w:r>
        <w:t xml:space="preserve"> </w:t>
      </w:r>
      <w:r>
        <w:rPr>
          <w:iCs/>
          <w:i/>
        </w:rPr>
        <w:t xml:space="preserve">Science</w:t>
      </w:r>
      <w:r>
        <w:t xml:space="preserve">,</w:t>
      </w:r>
      <w:r>
        <w:t xml:space="preserve"> </w:t>
      </w:r>
      <w:r>
        <w:rPr>
          <w:iCs/>
          <w:i/>
        </w:rPr>
        <w:t xml:space="preserve">Nature</w:t>
      </w:r>
      <w:r>
        <w:t xml:space="preserve"> </w:t>
      </w:r>
      <w:r>
        <w:t xml:space="preserve">or</w:t>
      </w:r>
      <w:r>
        <w:t xml:space="preserve"> </w:t>
      </w:r>
      <w:r>
        <w:rPr>
          <w:iCs/>
          <w:i/>
        </w:rPr>
        <w:t xml:space="preserve">Nature Human Behaviour</w:t>
      </w:r>
      <w:r>
        <w:t xml:space="preserve">. Other journals would include</w:t>
      </w:r>
      <w:r>
        <w:t xml:space="preserve"> </w:t>
      </w:r>
      <w:r>
        <w:t xml:space="preserve">review publications within psychology to compare the social sciences to</w:t>
      </w:r>
      <w:r>
        <w:t xml:space="preserve"> </w:t>
      </w:r>
      <w:r>
        <w:t xml:space="preserve">other sciences:</w:t>
      </w:r>
      <w:r>
        <w:t xml:space="preserve"> </w:t>
      </w:r>
      <w:r>
        <w:rPr>
          <w:iCs/>
          <w:i/>
        </w:rPr>
        <w:t xml:space="preserve">Perspectives in Psychological Science</w:t>
      </w:r>
      <w:r>
        <w:t xml:space="preserve">,</w:t>
      </w:r>
      <w:r>
        <w:t xml:space="preserve"> </w:t>
      </w:r>
      <w:r>
        <w:rPr>
          <w:iCs/>
          <w:i/>
        </w:rPr>
        <w:t xml:space="preserve">Psychological</w:t>
      </w:r>
      <w:r>
        <w:rPr>
          <w:iCs/>
          <w:i/>
        </w:rPr>
        <w:t xml:space="preserve"> </w:t>
      </w:r>
      <w:r>
        <w:rPr>
          <w:iCs/>
          <w:i/>
        </w:rPr>
        <w:t xml:space="preserve">Bulletin</w:t>
      </w:r>
      <w:r>
        <w:t xml:space="preserve">,</w:t>
      </w:r>
      <w:r>
        <w:t xml:space="preserve"> </w:t>
      </w:r>
      <w:r>
        <w:rPr>
          <w:iCs/>
          <w:i/>
        </w:rPr>
        <w:t xml:space="preserve">Psychological Review</w:t>
      </w:r>
      <w:r>
        <w:t xml:space="preserve">, or</w:t>
      </w:r>
      <w:r>
        <w:t xml:space="preserve"> </w:t>
      </w:r>
      <w:r>
        <w:rPr>
          <w:iCs/>
          <w:i/>
        </w:rPr>
        <w:t xml:space="preserve">Current Directions in</w:t>
      </w:r>
      <w:r>
        <w:rPr>
          <w:iCs/>
          <w:i/>
        </w:rPr>
        <w:t xml:space="preserve"> </w:t>
      </w:r>
      <w:r>
        <w:rPr>
          <w:iCs/>
          <w:i/>
        </w:rPr>
        <w:t xml:space="preserve">Psychological Science</w:t>
      </w:r>
      <w:r>
        <w:t xml:space="preserve">.</w:t>
      </w:r>
    </w:p>
    <w:bookmarkEnd w:id="24"/>
    <w:bookmarkStart w:id="25" w:name="research-questions"/>
    <w:p>
      <w:pPr>
        <w:pStyle w:val="berschrift1"/>
      </w:pPr>
      <w:r>
        <w:t xml:space="preserve">Research Questions</w:t>
      </w:r>
    </w:p>
    <w:p>
      <w:pPr>
        <w:numPr>
          <w:ilvl w:val="0"/>
          <w:numId w:val="1001"/>
        </w:numPr>
        <w:pStyle w:val="Compact"/>
      </w:pPr>
      <w:r>
        <w:t xml:space="preserve">Research Question 1: What publication sources publish big team</w:t>
      </w:r>
      <w:r>
        <w:t xml:space="preserve"> </w:t>
      </w:r>
      <w:r>
        <w:t xml:space="preserve">science papers?</w:t>
      </w:r>
    </w:p>
    <w:p>
      <w:pPr>
        <w:numPr>
          <w:ilvl w:val="0"/>
          <w:numId w:val="1001"/>
        </w:numPr>
        <w:pStyle w:val="Compact"/>
      </w:pPr>
      <w:r>
        <w:t xml:space="preserve">Research Question 2: What are the types of articles that are being</w:t>
      </w:r>
      <w:r>
        <w:t xml:space="preserve"> </w:t>
      </w:r>
      <w:r>
        <w:t xml:space="preserve">published in big team science?</w:t>
      </w:r>
    </w:p>
    <w:p>
      <w:pPr>
        <w:numPr>
          <w:ilvl w:val="0"/>
          <w:numId w:val="1001"/>
        </w:numPr>
        <w:pStyle w:val="Compact"/>
      </w:pPr>
      <w:r>
        <w:t xml:space="preserve">Research Question 3: Who is involved in big team science?</w:t>
      </w:r>
    </w:p>
    <w:p>
      <w:pPr>
        <w:pStyle w:val="FirstParagraph"/>
      </w:pPr>
      <w:r>
        <w:t xml:space="preserve">For each of these research questions, we will examine the overall</w:t>
      </w:r>
      <w:r>
        <w:t xml:space="preserve"> </w:t>
      </w:r>
      <w:r>
        <w:t xml:space="preserve">results of all big team research projects, and examine for change in</w:t>
      </w:r>
      <w:r>
        <w:t xml:space="preserve"> </w:t>
      </w:r>
      <w:r>
        <w:t xml:space="preserve">result trends across years of publication. Below we detail our methods</w:t>
      </w:r>
      <w:r>
        <w:t xml:space="preserve"> </w:t>
      </w:r>
      <w:r>
        <w:t xml:space="preserve">and the ICSR/Scopus data to answer these questions, along with examples</w:t>
      </w:r>
      <w:r>
        <w:t xml:space="preserve"> </w:t>
      </w:r>
      <w:r>
        <w:t xml:space="preserve">of the statistical results we expect to report in the manuscript. We</w:t>
      </w:r>
      <w:r>
        <w:t xml:space="preserve"> </w:t>
      </w:r>
      <w:r>
        <w:t xml:space="preserve">began this project with data using Google Scholar and ORCID information.</w:t>
      </w:r>
      <w:r>
        <w:t xml:space="preserve"> </w:t>
      </w:r>
      <w:r>
        <w:t xml:space="preserve">These sources were severely limited in their scope and breadth, as they</w:t>
      </w:r>
      <w:r>
        <w:t xml:space="preserve"> </w:t>
      </w:r>
      <w:r>
        <w:t xml:space="preserve">are often curated with automatic processes or self-entered data, and we</w:t>
      </w:r>
      <w:r>
        <w:t xml:space="preserve"> </w:t>
      </w:r>
      <w:r>
        <w:t xml:space="preserve">believe that access to Scopus and ICSR would allow us to accurately</w:t>
      </w:r>
      <w:r>
        <w:t xml:space="preserve"> </w:t>
      </w:r>
      <w:r>
        <w:t xml:space="preserve">portray the BTS movement and its impact on diversity across many fields.</w:t>
      </w:r>
      <w:r>
        <w:t xml:space="preserve"> </w:t>
      </w:r>
      <w:r>
        <w:t xml:space="preserve">The novelty of this project is that it would focus on all of published</w:t>
      </w:r>
      <w:r>
        <w:t xml:space="preserve"> </w:t>
      </w:r>
      <w:r>
        <w:t xml:space="preserve">works, rather than a specific subfield (like Psychology) and give a lens</w:t>
      </w:r>
      <w:r>
        <w:t xml:space="preserve"> </w:t>
      </w:r>
      <w:r>
        <w:t xml:space="preserve">into global representation in science that would otherwise not be</w:t>
      </w:r>
      <w:r>
        <w:t xml:space="preserve"> </w:t>
      </w:r>
      <w:r>
        <w:t xml:space="preserve">achieved with open-source databases.</w:t>
      </w:r>
    </w:p>
    <w:bookmarkEnd w:id="25"/>
    <w:bookmarkStart w:id="59" w:name="method"/>
    <w:p>
      <w:pPr>
        <w:pStyle w:val="berschrift1"/>
      </w:pPr>
      <w:r>
        <w:t xml:space="preserve">Method</w:t>
      </w:r>
    </w:p>
    <w:bookmarkStart w:id="26" w:name="publications"/>
    <w:p>
      <w:pPr>
        <w:pStyle w:val="berschrift2"/>
      </w:pPr>
      <w:r>
        <w:t xml:space="preserve">Publications</w:t>
      </w:r>
    </w:p>
    <w:p>
      <w:pPr>
        <w:pStyle w:val="FirstParagraph"/>
      </w:pPr>
      <w:r>
        <w:t xml:space="preserve">We have defined</w:t>
      </w:r>
      <w:r>
        <w:t xml:space="preserve"> </w:t>
      </w:r>
      <w:r>
        <w:rPr>
          <w:bCs/>
          <w:b/>
        </w:rPr>
        <w:t xml:space="preserve">BTS publications</w:t>
      </w:r>
      <w:r>
        <w:t xml:space="preserve"> </w:t>
      </w:r>
      <w:r>
        <w:t xml:space="preserve">as publications with at least 10</w:t>
      </w:r>
      <w:r>
        <w:t xml:space="preserve"> </w:t>
      </w:r>
      <w:r>
        <w:t xml:space="preserve">authors at 10 different institutions that were published in</w:t>
      </w:r>
      <w:r>
        <w:t xml:space="preserve"> </w:t>
      </w:r>
      <w:r>
        <w:t xml:space="preserve">peer-reviewed journals or had posted a full paper pre-print. We will use</w:t>
      </w:r>
      <w:r>
        <w:t xml:space="preserve"> </w:t>
      </w:r>
      <w:r>
        <w:t xml:space="preserve">data from 1970 and forward in the publications (</w:t>
      </w:r>
      <w:r>
        <w:rPr>
          <w:rStyle w:val="VerbatimChar"/>
        </w:rPr>
        <w:t xml:space="preserve">ani</w:t>
      </w:r>
      <w:r>
        <w:t xml:space="preserve">) database, as it</w:t>
      </w:r>
      <w:r>
        <w:t xml:space="preserve"> </w:t>
      </w:r>
      <w:r>
        <w:t xml:space="preserve">is noted online that this time period includes cited references for</w:t>
      </w:r>
      <w:r>
        <w:t xml:space="preserve"> </w:t>
      </w:r>
      <w:r>
        <w:t xml:space="preserve">calculation of several of our variables described below. We will analyze</w:t>
      </w:r>
      <w:r>
        <w:t xml:space="preserve"> </w:t>
      </w:r>
      <w:r>
        <w:t xml:space="preserve">our results based on the big four subject areas: Physical Sciences,</w:t>
      </w:r>
      <w:r>
        <w:t xml:space="preserve"> </w:t>
      </w:r>
      <w:r>
        <w:t xml:space="preserve">Health Sciences, Social Sciences, and Life Sciences. We filtered the database to include articles, articles in press, business articles, conference papers, data papers, preprints, and surveys using Elsevier’s classification system.</w:t>
      </w:r>
    </w:p>
    <w:bookmarkEnd w:id="26"/>
    <w:bookmarkStart w:id="30" w:name="data-curation"/>
    <w:p>
      <w:pPr>
        <w:pStyle w:val="berschrift2"/>
      </w:pPr>
      <w:r>
        <w:t xml:space="preserve">Data Curation</w:t>
      </w:r>
    </w:p>
    <w:bookmarkStart w:id="27" w:name="rq1-publisher-information."/>
    <w:p>
      <w:pPr>
        <w:pStyle w:val="berschrift3"/>
      </w:pPr>
      <w:r>
        <w:t xml:space="preserve">RQ1: Publisher Information..</w:t>
      </w:r>
    </w:p>
    <w:p>
      <w:pPr>
        <w:pStyle w:val="FirstParagraph"/>
      </w:pPr>
      <w:r>
        <w:t xml:space="preserve">Using these criteria, we will extract the following information for</w:t>
      </w:r>
      <w:r>
        <w:t xml:space="preserve"> </w:t>
      </w:r>
      <w:r>
        <w:t xml:space="preserve">publication sources: the name of the publication (source title), subject</w:t>
      </w:r>
      <w:r>
        <w:t xml:space="preserve"> </w:t>
      </w:r>
      <w:r>
        <w:t xml:space="preserve">area (both the large four subject areas and the smaller four digit all</w:t>
      </w:r>
      <w:r>
        <w:t xml:space="preserve"> </w:t>
      </w:r>
      <w:r>
        <w:t xml:space="preserve">science journal classification ASJC codes). We will examine journal</w:t>
      </w:r>
      <w:r>
        <w:t xml:space="preserve"> </w:t>
      </w:r>
      <w:r>
        <w:t xml:space="preserve">impact using the Source Normalized Impact per Paper from the journal</w:t>
      </w:r>
      <w:r>
        <w:t xml:space="preserve"> </w:t>
      </w:r>
      <w:r>
        <w:t xml:space="preserve">(</w:t>
      </w:r>
      <w:r>
        <w:rPr>
          <w:rStyle w:val="VerbatimChar"/>
        </w:rPr>
        <w:t xml:space="preserve">sources</w:t>
      </w:r>
      <w:r>
        <w:t xml:space="preserve">) database.</w:t>
      </w:r>
    </w:p>
    <w:bookmarkEnd w:id="27"/>
    <w:bookmarkStart w:id="28" w:name="rq2-publication-information."/>
    <w:p>
      <w:pPr>
        <w:pStyle w:val="berschrift3"/>
      </w:pPr>
      <w:r>
        <w:t xml:space="preserve">RQ2: Publication Information..</w:t>
      </w:r>
    </w:p>
    <w:p>
      <w:pPr>
        <w:pStyle w:val="FirstParagraph"/>
      </w:pPr>
      <w:r>
        <w:t xml:space="preserve">For each publication of the identified BTS publications, we will analyze</w:t>
      </w:r>
      <w:r>
        <w:t xml:space="preserve"> </w:t>
      </w:r>
      <w:r>
        <w:t xml:space="preserve">the full four digit ASJC subject areas codes for each of the larger four</w:t>
      </w:r>
      <w:r>
        <w:t xml:space="preserve"> </w:t>
      </w:r>
      <w:r>
        <w:t xml:space="preserve">subject areas and the keywords present for these publications.</w:t>
      </w:r>
    </w:p>
    <w:bookmarkEnd w:id="28"/>
    <w:bookmarkStart w:id="29" w:name="rq3-author-information."/>
    <w:p>
      <w:pPr>
        <w:pStyle w:val="berschrift3"/>
      </w:pPr>
      <w:r>
        <w:t xml:space="preserve">RQ3: Author Information..</w:t>
      </w:r>
    </w:p>
    <w:p>
      <w:pPr>
        <w:pStyle w:val="FirstParagraph"/>
      </w:pPr>
      <w:r>
        <w:t xml:space="preserve">The author list will then be extracted from each publication. Next, we</w:t>
      </w:r>
      <w:r>
        <w:t xml:space="preserve"> </w:t>
      </w:r>
      <w:r>
        <w:t xml:space="preserve">will use the author (</w:t>
      </w:r>
      <w:r>
        <w:rPr>
          <w:rStyle w:val="VerbatimChar"/>
        </w:rPr>
        <w:t xml:space="preserve">au</w:t>
      </w:r>
      <w:r>
        <w:t xml:space="preserve">) and affiliation (</w:t>
      </w:r>
      <w:r>
        <w:rPr>
          <w:rStyle w:val="VerbatimChar"/>
        </w:rPr>
        <w:t xml:space="preserve">af</w:t>
      </w:r>
      <w:r>
        <w:t xml:space="preserve">) array to curate a list</w:t>
      </w:r>
      <w:r>
        <w:t xml:space="preserve"> </w:t>
      </w:r>
      <w:r>
        <w:t xml:space="preserve">of all publications and author information included in BTS papers. We</w:t>
      </w:r>
      <w:r>
        <w:t xml:space="preserve"> </w:t>
      </w:r>
      <w:r>
        <w:t xml:space="preserve">will use these two arrays with the publication array to calculate the</w:t>
      </w:r>
      <w:r>
        <w:t xml:space="preserve"> </w:t>
      </w:r>
      <w:r>
        <w:t xml:space="preserve">variables described below.</w:t>
      </w:r>
    </w:p>
    <w:p>
      <w:pPr>
        <w:pStyle w:val="Textkrper"/>
      </w:pPr>
      <w:r>
        <w:rPr>
          <w:iCs/>
          <w:i/>
          <w:bCs/>
          <w:b/>
        </w:rPr>
        <w:t xml:space="preserve">Career Length</w:t>
      </w:r>
      <w:r>
        <w:t xml:space="preserve">. Career length for each author will be defined as</w:t>
      </w:r>
      <w:r>
        <w:t xml:space="preserve"> </w:t>
      </w:r>
      <w:r>
        <w:t xml:space="preserve">the year of the first publication listed for each author.</w:t>
      </w:r>
    </w:p>
    <w:p>
      <w:pPr>
        <w:pStyle w:val="Textkrper"/>
      </w:pPr>
      <w:r>
        <w:rPr>
          <w:iCs/>
          <w:i/>
          <w:bCs/>
          <w:b/>
        </w:rPr>
        <w:t xml:space="preserve">Institution</w:t>
      </w:r>
      <w:r>
        <w:t xml:space="preserve">. We will use the affiliation ids and country to gather</w:t>
      </w:r>
      <w:r>
        <w:t xml:space="preserve"> </w:t>
      </w:r>
      <w:r>
        <w:t xml:space="preserve">information about the places of education and/or employment for authors.</w:t>
      </w:r>
      <w:r>
        <w:t xml:space="preserve"> </w:t>
      </w:r>
      <w:r>
        <w:t xml:space="preserve">Country will likely be binned into United Nation Sub-Region for</w:t>
      </w:r>
      <w:r>
        <w:t xml:space="preserve"> </w:t>
      </w:r>
      <w:r>
        <w:t xml:space="preserve">analyses.</w:t>
      </w:r>
    </w:p>
    <w:p>
      <w:pPr>
        <w:pStyle w:val="Textkrper"/>
      </w:pPr>
      <w:r>
        <w:rPr>
          <w:iCs/>
          <w:i/>
          <w:bCs/>
          <w:b/>
        </w:rPr>
        <w:t xml:space="preserve">Education</w:t>
      </w:r>
      <w:r>
        <w:t xml:space="preserve">. We will also collect degree information from the author</w:t>
      </w:r>
      <w:r>
        <w:t xml:space="preserve"> </w:t>
      </w:r>
      <w:r>
        <w:t xml:space="preserve">table.</w:t>
      </w:r>
    </w:p>
    <w:p>
      <w:pPr>
        <w:pStyle w:val="Textkrper"/>
      </w:pPr>
      <w:r>
        <w:rPr>
          <w:iCs/>
          <w:i/>
          <w:bCs/>
          <w:b/>
        </w:rPr>
        <w:t xml:space="preserve">Types of Publications</w:t>
      </w:r>
      <w:r>
        <w:t xml:space="preserve">. We will gather information from the</w:t>
      </w:r>
      <w:r>
        <w:t xml:space="preserve"> </w:t>
      </w:r>
      <w:r>
        <w:t xml:space="preserve">publication type variable for each author publication to present</w:t>
      </w:r>
      <w:r>
        <w:t xml:space="preserve"> </w:t>
      </w:r>
      <w:r>
        <w:t xml:space="preserve">information about the types of papers BTS authors publish.</w:t>
      </w:r>
    </w:p>
    <w:p>
      <w:pPr>
        <w:pStyle w:val="Textkrper"/>
      </w:pPr>
      <w:r>
        <w:rPr>
          <w:iCs/>
          <w:i/>
          <w:bCs/>
          <w:b/>
        </w:rPr>
        <w:t xml:space="preserve">Publication Metrics</w:t>
      </w:r>
      <w:r>
        <w:t xml:space="preserve">. For each author, we will calculate the total</w:t>
      </w:r>
      <w:r>
        <w:t xml:space="preserve"> </w:t>
      </w:r>
      <w:r>
        <w:t xml:space="preserve">number of publications, and the h-index. The h-index represents the highest</w:t>
      </w:r>
      <w:r>
        <w:t xml:space="preserve"> </w:t>
      </w:r>
      <w:r>
        <w:rPr>
          <w:iCs/>
          <w:i/>
        </w:rPr>
        <w:t xml:space="preserve">h</w:t>
      </w:r>
      <w:r>
        <w:t xml:space="preserve"> </w:t>
      </w:r>
      <w:r>
        <w:t xml:space="preserve">number of publications that have at least</w:t>
      </w:r>
      <w:r>
        <w:t xml:space="preserve"> </w:t>
      </w:r>
      <w:r>
        <w:rPr>
          <w:iCs/>
          <w:i/>
        </w:rPr>
        <w:t xml:space="preserve">h</w:t>
      </w:r>
      <w:r>
        <w:t xml:space="preserve"> </w:t>
      </w:r>
      <w:r>
        <w:t xml:space="preserve">citations.</w:t>
      </w:r>
    </w:p>
    <w:bookmarkEnd w:id="29"/>
    <w:bookmarkEnd w:id="30"/>
    <w:bookmarkStart w:id="58" w:name="data-analysis"/>
    <w:p>
      <w:pPr>
        <w:pStyle w:val="berschrift2"/>
      </w:pPr>
      <w:r>
        <w:t xml:space="preserve">Data analysis</w:t>
      </w:r>
    </w:p>
    <w:bookmarkStart w:id="34" w:name="rq1-publisher-information.-1"/>
    <w:p>
      <w:pPr>
        <w:pStyle w:val="berschrift3"/>
      </w:pPr>
      <w:r>
        <w:t xml:space="preserve">RQ1: Publisher Information..</w:t>
      </w:r>
    </w:p>
    <w:p>
      <w:pPr>
        <w:pStyle w:val="FirstParagraph"/>
      </w:pPr>
      <w:r>
        <w:t xml:space="preserve">To present results on this research question, we will analyze:</w:t>
      </w:r>
    </w:p>
    <w:p>
      <w:pPr>
        <w:numPr>
          <w:ilvl w:val="0"/>
          <w:numId w:val="1002"/>
        </w:numPr>
        <w:pStyle w:val="Compact"/>
      </w:pPr>
      <w:r>
        <w:t xml:space="preserve">Number of articles for inclusion: total, separated by four subject</w:t>
      </w:r>
      <w:r>
        <w:t xml:space="preserve"> </w:t>
      </w:r>
      <w:r>
        <w:t xml:space="preserve">areas, presenting graphics of the number of publication across time</w:t>
      </w:r>
      <w:r>
        <w:t xml:space="preserve"> </w:t>
      </w:r>
      <w:r>
        <w:t xml:space="preserve">total</w:t>
      </w:r>
    </w:p>
    <w:p>
      <w:pPr>
        <w:pStyle w:val="FirstParagraph"/>
      </w:pPr>
      <w:r>
        <w:t xml:space="preserve">The total number of articles included in this analysis was 13581 including 10685 Health Sciences articles, 6151 Physical Sciences articles, 543 Social Sciences articles, and 7686 Life Sciences articles. Articles could be classified into multiple categories.</w:t>
      </w:r>
    </w:p>
    <w:p>
      <w:pPr>
        <w:pStyle w:val="Textkrper"/>
      </w:pPr>
      <w:r>
        <w:drawing>
          <wp:inline>
            <wp:extent cx="4587290" cy="3669832"/>
            <wp:effectExtent b="0" l="0" r="0" t="0"/>
            <wp:docPr descr="" title="" id="32" name="Picture"/>
            <a:graphic>
              <a:graphicData uri="http://schemas.openxmlformats.org/drawingml/2006/picture">
                <pic:pic>
                  <pic:nvPicPr>
                    <pic:cNvPr descr="manuscript_scopus_files/figure-docx/unnamed-chunk-2-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numPr>
          <w:ilvl w:val="0"/>
          <w:numId w:val="1003"/>
        </w:numPr>
        <w:pStyle w:val="Compact"/>
      </w:pPr>
      <w:r>
        <w:t xml:space="preserve">Number of distinct journals within each of the four subject areas</w:t>
      </w:r>
    </w:p>
    <w:p>
      <w:pPr>
        <w:pStyle w:val="FirstParagraph"/>
      </w:pPr>
      <w:r>
        <w:t xml:space="preserve">The number of distinct journals big team science articles were published in was 2534 with 1472 journals in Health Sciences, 641 journals in Physical Sciences, 206 journals in Social Sciences, and 1024 journals in Life Sciences. The descriptive statistics for the Source Normalized Impact per Paper is presented in Table 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Subject 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Sciences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Multidisciplinary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Life Sciences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r>
    </w:tbl>
    <w:bookmarkEnd w:id="34"/>
    <w:bookmarkStart w:id="41" w:name="rq2-publication-information.-1"/>
    <w:p>
      <w:pPr>
        <w:pStyle w:val="berschrift3"/>
      </w:pPr>
      <w:r>
        <w:t xml:space="preserve">RQ2: Publication Information..</w:t>
      </w:r>
    </w:p>
    <w:p>
      <w:pPr>
        <w:pStyle w:val="FirstParagraph"/>
      </w:pPr>
      <w:r>
        <w:t xml:space="preserve">For each publication, we will examine:</w:t>
      </w:r>
    </w:p>
    <w:p>
      <w:pPr>
        <w:numPr>
          <w:ilvl w:val="0"/>
          <w:numId w:val="1004"/>
        </w:numPr>
        <w:pStyle w:val="Compact"/>
      </w:pPr>
      <w:r>
        <w:t xml:space="preserve">The totals of the number of articles published within the smaller</w:t>
      </w:r>
      <w:r>
        <w:t xml:space="preserve"> </w:t>
      </w:r>
      <w:r>
        <w:t xml:space="preserve">subject area classifications. We will visualize these differences</w:t>
      </w:r>
      <w:r>
        <w:t xml:space="preserve"> </w:t>
      </w:r>
      <w:r>
        <w:t xml:space="preserve">over time to determine if there is increasing interest in a specific</w:t>
      </w:r>
      <w:r>
        <w:t xml:space="preserve"> </w:t>
      </w:r>
      <w:r>
        <w:t xml:space="preserve">subarea over time for each of the four larger subject area</w:t>
      </w:r>
      <w:r>
        <w:t xml:space="preserve"> </w:t>
      </w:r>
      <w:r>
        <w:t xml:space="preserve">classifications.</w:t>
      </w:r>
    </w:p>
    <w:p>
      <w:pPr>
        <w:pStyle w:val="SourceCode"/>
      </w:pPr>
      <w:r>
        <w:rPr>
          <w:rStyle w:val="VerbatimChar"/>
        </w:rPr>
        <w:t xml:space="preserve">## NULL</w:t>
      </w:r>
    </w:p>
    <w:p>
      <w:pPr>
        <w:pStyle w:val="SourceCode"/>
      </w:pPr>
      <w:r>
        <w:rPr>
          <w:rStyle w:val="VerbatimChar"/>
        </w:rPr>
        <w:t xml:space="preserve">## NULL</w:t>
      </w:r>
    </w:p>
    <w:p>
      <w:pPr>
        <w:pStyle w:val="SourceCode"/>
      </w:pPr>
      <w:r>
        <w:rPr>
          <w:rStyle w:val="VerbatimChar"/>
        </w:rPr>
        <w:t xml:space="preserve">## NULL</w:t>
      </w:r>
    </w:p>
    <w:p>
      <w:pPr>
        <w:pStyle w:val="SourceCode"/>
      </w:pPr>
      <w:r>
        <w:rPr>
          <w:rStyle w:val="VerbatimChar"/>
        </w:rPr>
        <w:t xml:space="preserve">## NULL</w:t>
      </w:r>
    </w:p>
    <w:p>
      <w:pPr>
        <w:pStyle w:val="FirstParagraph"/>
      </w:pPr>
      <w:r>
        <w:drawing>
          <wp:inline>
            <wp:extent cx="4587290" cy="3669832"/>
            <wp:effectExtent b="0" l="0" r="0" t="0"/>
            <wp:docPr descr="" title="" id="36" name="Picture"/>
            <a:graphic>
              <a:graphicData uri="http://schemas.openxmlformats.org/drawingml/2006/picture">
                <pic:pic>
                  <pic:nvPicPr>
                    <pic:cNvPr descr="manuscript_scopus_files/figure-docx/unnamed-chunk-6-1.png" id="37"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numPr>
          <w:ilvl w:val="0"/>
          <w:numId w:val="1005"/>
        </w:numPr>
        <w:pStyle w:val="Compact"/>
      </w:pPr>
      <w:r>
        <w:t xml:space="preserve">The keywords present in the publications data overall to identify</w:t>
      </w:r>
      <w:r>
        <w:t xml:space="preserve"> </w:t>
      </w:r>
      <w:r>
        <w:t xml:space="preserve">trends and common themes in the publications for the four subject</w:t>
      </w:r>
      <w:r>
        <w:t xml:space="preserve"> </w:t>
      </w:r>
      <w:r>
        <w:t xml:space="preserve">areas using visualizations (wordclouds) to depict the common</w:t>
      </w:r>
      <w:r>
        <w:t xml:space="preserve"> </w:t>
      </w:r>
      <w:r>
        <w:t xml:space="preserve">keywords.</w:t>
      </w:r>
    </w:p>
    <w:p>
      <w:pPr>
        <w:pStyle w:val="SourceCode"/>
      </w:pPr>
      <w:r>
        <w:rPr>
          <w:rStyle w:val="VerbatimChar"/>
        </w:rPr>
        <w:t xml:space="preserve">## NULL</w:t>
      </w:r>
    </w:p>
    <w:p>
      <w:pPr>
        <w:pStyle w:val="SourceCode"/>
      </w:pPr>
      <w:r>
        <w:rPr>
          <w:rStyle w:val="VerbatimChar"/>
        </w:rPr>
        <w:t xml:space="preserve">## NULL</w:t>
      </w:r>
    </w:p>
    <w:p>
      <w:pPr>
        <w:pStyle w:val="SourceCode"/>
      </w:pPr>
      <w:r>
        <w:rPr>
          <w:rStyle w:val="VerbatimChar"/>
        </w:rPr>
        <w:t xml:space="preserve">## NULL</w:t>
      </w:r>
    </w:p>
    <w:p>
      <w:pPr>
        <w:pStyle w:val="SourceCode"/>
      </w:pPr>
      <w:r>
        <w:rPr>
          <w:rStyle w:val="VerbatimChar"/>
        </w:rPr>
        <w:t xml:space="preserve">## NULL</w:t>
      </w:r>
    </w:p>
    <w:p>
      <w:pPr>
        <w:pStyle w:val="FirstParagraph"/>
      </w:pPr>
      <w:r>
        <w:drawing>
          <wp:inline>
            <wp:extent cx="4587290" cy="3669832"/>
            <wp:effectExtent b="0" l="0" r="0" t="0"/>
            <wp:docPr descr="" title="" id="39" name="Picture"/>
            <a:graphic>
              <a:graphicData uri="http://schemas.openxmlformats.org/drawingml/2006/picture">
                <pic:pic>
                  <pic:nvPicPr>
                    <pic:cNvPr descr="manuscript_scopus_files/figure-docx/unnamed-chunk-8-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57" w:name="rq3-authors."/>
    <w:p>
      <w:pPr>
        <w:pStyle w:val="berschrift3"/>
      </w:pPr>
      <w:r>
        <w:t xml:space="preserve">RQ3: Authors..</w:t>
      </w:r>
    </w:p>
    <w:p>
      <w:pPr>
        <w:pStyle w:val="FirstParagraph"/>
      </w:pPr>
      <w:r>
        <w:t xml:space="preserve">We will first present:</w:t>
      </w:r>
    </w:p>
    <w:p>
      <w:pPr>
        <w:numPr>
          <w:ilvl w:val="0"/>
          <w:numId w:val="1006"/>
        </w:numPr>
        <w:pStyle w:val="Compact"/>
      </w:pPr>
      <w:r>
        <w:t xml:space="preserve">The total number of unique authors</w:t>
      </w:r>
    </w:p>
    <w:p>
      <w:pPr>
        <w:pStyle w:val="FirstParagraph"/>
      </w:pPr>
      <w:r>
        <w:t xml:space="preserve">The total number of unique authors across all publications was 257536.</w:t>
      </w:r>
    </w:p>
    <w:p>
      <w:pPr>
        <w:numPr>
          <w:ilvl w:val="0"/>
          <w:numId w:val="1007"/>
        </w:numPr>
        <w:pStyle w:val="Compact"/>
      </w:pPr>
      <w:r>
        <w:t xml:space="preserve">Statistics (mean, standard deviation, minimum, maximum, median) on</w:t>
      </w:r>
      <w:r>
        <w:t xml:space="preserve"> </w:t>
      </w:r>
      <w:r>
        <w:t xml:space="preserve">the number of authors included on publications.</w:t>
      </w:r>
    </w:p>
    <w:p>
      <w:pPr>
        <w:pStyle w:val="FirstParagraph"/>
      </w:pPr>
      <w:r>
        <w:t xml:space="preserve">The mean number of authors per publication was</w:t>
      </w:r>
      <w:r>
        <w:t xml:space="preserve"> </w:t>
      </w:r>
      <w:r>
        <w:rPr>
          <w:iCs/>
          <w:i/>
        </w:rPr>
        <w:t xml:space="preserve">M</w:t>
      </w:r>
      <w:r>
        <w:t xml:space="preserve"> </w:t>
      </w:r>
      <w:r>
        <w:t xml:space="preserve">= 49.90 (</w:t>
      </w:r>
      <w:r>
        <w:rPr>
          <w:iCs/>
          <w:i/>
        </w:rPr>
        <w:t xml:space="preserve">SD</w:t>
      </w:r>
      <w:r>
        <w:t xml:space="preserve"> </w:t>
      </w:r>
      <w:r>
        <w:t xml:space="preserve">= 207.01,</w:t>
      </w:r>
      <w:r>
        <w:t xml:space="preserve"> </w:t>
      </w:r>
      <w:r>
        <w:rPr>
          <w:iCs/>
          <w:i/>
        </w:rPr>
        <w:t xml:space="preserve">Med</w:t>
      </w:r>
      <w:r>
        <w:t xml:space="preserve"> </w:t>
      </w:r>
      <w:r>
        <w:t xml:space="preserve">= 19) with a range of 10 to 5155.</w:t>
      </w:r>
    </w:p>
    <w:p>
      <w:pPr>
        <w:numPr>
          <w:ilvl w:val="0"/>
          <w:numId w:val="1008"/>
        </w:numPr>
        <w:pStyle w:val="Compact"/>
      </w:pPr>
      <w:r>
        <w:t xml:space="preserve">We will present visualizations of these results across time.</w:t>
      </w:r>
    </w:p>
    <w:p>
      <w:pPr>
        <w:pStyle w:val="FirstParagraph"/>
      </w:pPr>
      <w:r>
        <w:drawing>
          <wp:inline>
            <wp:extent cx="4587290" cy="3669832"/>
            <wp:effectExtent b="0" l="0" r="0" t="0"/>
            <wp:docPr descr="" title="" id="43" name="Picture"/>
            <a:graphic>
              <a:graphicData uri="http://schemas.openxmlformats.org/drawingml/2006/picture">
                <pic:pic>
                  <pic:nvPicPr>
                    <pic:cNvPr descr="manuscript_scopus_files/figure-docx/unnamed-chunk-1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We will use the 95% confidence interval to make all claims of predictors or effects different zero. The confidence interval that does not include zero would be considered different from zero (to four decimal places). We make no directional predictions.</w:t>
      </w:r>
    </w:p>
    <w:p>
      <w:pPr>
        <w:pStyle w:val="Textkrper"/>
      </w:pPr>
      <w:r>
        <w:rPr>
          <w:iCs/>
          <w:i/>
          <w:bCs/>
          <w:b/>
        </w:rPr>
        <w:t xml:space="preserve">Career Length</w:t>
      </w:r>
      <w:r>
        <w:t xml:space="preserve">.</w:t>
      </w:r>
    </w:p>
    <w:p>
      <w:pPr>
        <w:numPr>
          <w:ilvl w:val="0"/>
          <w:numId w:val="1009"/>
        </w:numPr>
        <w:pStyle w:val="Compact"/>
      </w:pPr>
      <w:r>
        <w:t xml:space="preserve">We will create a visualization of the trend and variance of</w:t>
      </w:r>
      <w:r>
        <w:t xml:space="preserve"> </w:t>
      </w:r>
      <w:r>
        <w:t xml:space="preserve">researcher career length across publication years.</w:t>
      </w:r>
    </w:p>
    <w:p>
      <w:pPr>
        <w:pStyle w:val="FirstParagraph"/>
      </w:pPr>
      <w:r>
        <w:drawing>
          <wp:inline>
            <wp:extent cx="4587290" cy="3669832"/>
            <wp:effectExtent b="0" l="0" r="0" t="0"/>
            <wp:docPr descr="" title="" id="46" name="Picture"/>
            <a:graphic>
              <a:graphicData uri="http://schemas.openxmlformats.org/drawingml/2006/picture">
                <pic:pic>
                  <pic:nvPicPr>
                    <pic:cNvPr descr="manuscript_scopus_files/figure-docx/unnamed-chunk-11-1.png" id="47"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numPr>
          <w:ilvl w:val="0"/>
          <w:numId w:val="1010"/>
        </w:numPr>
        <w:pStyle w:val="Compact"/>
      </w:pPr>
      <w:r>
        <w:t xml:space="preserve">To analyze trends over time, we will calculate the average career length for each publication (i.e., average the author career length to create one score for each paper) and run a regression analysis using career length to predict year of publication. In order to show variance between individuals, we calculate the standard deviation of career length for each publication and run a regression analysis using this variance representation to predict publication year. These two variables will be used together.</w:t>
      </w:r>
    </w:p>
    <w:p>
      <w:pPr>
        <w:numPr>
          <w:ilvl w:val="0"/>
          <w:numId w:val="1010"/>
        </w:numPr>
        <w:pStyle w:val="Compact"/>
      </w:pPr>
      <w:r>
        <w:t xml:space="preserve">Negative slopes would indicate more young scholars in later years (i.e., lower average career length as time increases). Positive slopes would indicate older scholars in later years (i.e., higher average career length as time increases).</w:t>
      </w:r>
    </w:p>
    <w:p>
      <w:pPr>
        <w:numPr>
          <w:ilvl w:val="0"/>
          <w:numId w:val="1010"/>
        </w:numPr>
        <w:pStyle w:val="Compact"/>
      </w:pPr>
      <w:r>
        <w:t xml:space="preserve">Negative slopes imply that variability decreases over the years, so the average career length is more homogeneous. Positive slopes imply that variability increases over the years, so the average career length is varied across individuals (lots of different types of scholars).</w:t>
      </w:r>
    </w:p>
    <w:p>
      <w:pPr>
        <w:numPr>
          <w:ilvl w:val="0"/>
          <w:numId w:val="1010"/>
        </w:numPr>
        <w:pStyle w:val="Compact"/>
      </w:pPr>
      <w:r>
        <w:t xml:space="preserve">These analyses will be completed separately for each of the four large subject areas.</w:t>
      </w:r>
    </w:p>
    <w:p>
      <w:pPr>
        <w:pStyle w:val="FirstParagraph"/>
      </w:pPr>
      <w:r>
        <w:drawing>
          <wp:inline>
            <wp:extent cx="4587290" cy="3669832"/>
            <wp:effectExtent b="0" l="0" r="0" t="0"/>
            <wp:docPr descr="" title="" id="49" name="Picture"/>
            <a:graphic>
              <a:graphicData uri="http://schemas.openxmlformats.org/drawingml/2006/picture">
                <pic:pic>
                  <pic:nvPicPr>
                    <pic:cNvPr descr="manuscript_scopus_files/figure-docx/unnamed-chunk-12-1.png" id="5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rPr>
          <w:iCs/>
          <w:i/>
          <w:bCs/>
          <w:b/>
        </w:rPr>
        <w:t xml:space="preserve">Institution</w:t>
      </w:r>
      <w:r>
        <w:t xml:space="preserve">.</w:t>
      </w:r>
    </w:p>
    <w:p>
      <w:pPr>
        <w:numPr>
          <w:ilvl w:val="0"/>
          <w:numId w:val="1011"/>
        </w:numPr>
        <w:pStyle w:val="Compact"/>
      </w:pPr>
      <w:r>
        <w:t xml:space="preserve">We will summarize the number of affiliation ids present in BTS</w:t>
      </w:r>
      <w:r>
        <w:t xml:space="preserve"> </w:t>
      </w:r>
      <w:r>
        <w:t xml:space="preserve">publications by subject area and visualize these results across</w:t>
      </w:r>
      <w:r>
        <w:t xml:space="preserve"> </w:t>
      </w:r>
      <w:r>
        <w:t xml:space="preserve">time. These visualizations will be presented separately for each of</w:t>
      </w:r>
      <w:r>
        <w:t xml:space="preserve"> </w:t>
      </w:r>
      <w:r>
        <w:t xml:space="preserve">the four subject areas.</w:t>
      </w:r>
    </w:p>
    <w:p>
      <w:pPr>
        <w:pStyle w:val="FirstParagraph"/>
      </w:pPr>
      <w:r>
        <w:t xml:space="preserve">The total number of unique affiliation across all papers was 35114.</w:t>
      </w:r>
    </w:p>
    <w:p>
      <w:pPr>
        <w:pStyle w:val="SourceCode"/>
      </w:pPr>
      <w:r>
        <w:rPr>
          <w:rStyle w:val="VerbatimChar"/>
        </w:rPr>
        <w:t xml:space="preserve">## Warning: Groups with fewer than two data points have been dropped.</w:t>
      </w:r>
      <w:r>
        <w:br/>
      </w:r>
      <w:r>
        <w:rPr>
          <w:rStyle w:val="VerbatimChar"/>
        </w:rPr>
        <w:t xml:space="preserve">## Groups with fewer than two data points have been dropped.</w:t>
      </w:r>
    </w:p>
    <w:p>
      <w:pPr>
        <w:pStyle w:val="FirstParagraph"/>
      </w:pPr>
      <w:r>
        <w:drawing>
          <wp:inline>
            <wp:extent cx="4587290" cy="3669832"/>
            <wp:effectExtent b="0" l="0" r="0" t="0"/>
            <wp:docPr descr="" title="" id="52" name="Picture"/>
            <a:graphic>
              <a:graphicData uri="http://schemas.openxmlformats.org/drawingml/2006/picture">
                <pic:pic>
                  <pic:nvPicPr>
                    <pic:cNvPr descr="manuscript_scopus_files/figure-docx/unnamed-chunk-14-1.png" id="53"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rPr>
          <w:iCs/>
          <w:i/>
          <w:bCs/>
          <w:b/>
        </w:rPr>
        <w:t xml:space="preserve">Education</w:t>
      </w:r>
      <w:r>
        <w:t xml:space="preserve">.</w:t>
      </w:r>
    </w:p>
    <w:p>
      <w:pPr>
        <w:pStyle w:val="Textkrper"/>
      </w:pPr>
      <w:r>
        <w:t xml:space="preserve">We will summarize the general education categories of individuals at the time of publication, along with a summary for change over time.</w:t>
      </w:r>
    </w:p>
    <w:p>
      <w:pPr>
        <w:pStyle w:val="SourceCode"/>
      </w:pPr>
      <w:r>
        <w:rPr>
          <w:rStyle w:val="VerbatimChar"/>
        </w:rPr>
        <w:t xml:space="preserve">Figure out how messy this is for text processing requirements</w:t>
      </w:r>
      <w:r>
        <w:br/>
      </w:r>
      <w:r>
        <w:rPr>
          <w:rStyle w:val="VerbatimChar"/>
        </w:rPr>
        <w:t xml:space="preserve">For each publication, plot of proportion of doctorates across time - if the number is going down, we are involving more diverse types of people (assuming that doctorates are "normal" academics/researchers)</w:t>
      </w:r>
      <w:r>
        <w:br/>
      </w:r>
      <w:r>
        <w:rPr>
          <w:rStyle w:val="VerbatimChar"/>
        </w:rPr>
        <w:t xml:space="preserve">We will only perform this analysis if the proportion of information avaliable is over 50%.</w:t>
      </w:r>
    </w:p>
    <w:tbl>
      <w:tblPr>
        <w:tblStyle w:val="Table"/>
        <w:tblW w:type="pct" w:w="1319"/>
        <w:tblLook w:firstRow="0" w:lastRow="0" w:firstColumn="0" w:lastColumn="0" w:noHBand="0" w:noVBand="0" w:val="0000"/>
      </w:tblPr>
      <w:tblGrid>
        <w:gridCol w:w="1320"/>
        <w:gridCol w:w="770"/>
      </w:tblGrid>
      <w:tr>
        <w:tc>
          <w:tcPr/>
          <w:p>
            <w:pPr>
              <w:pStyle w:val="Compact"/>
              <w:jc w:val="left"/>
            </w:pPr>
            <w:r>
              <w:t xml:space="preserve">degrees</w:t>
            </w:r>
          </w:p>
        </w:tc>
        <w:tc>
          <w:tcPr/>
          <w:p>
            <w:pPr>
              <w:pStyle w:val="Compact"/>
              <w:jc w:val="left"/>
            </w:pPr>
            <w:r>
              <w:t xml:space="preserve">count</w:t>
            </w:r>
          </w:p>
        </w:tc>
      </w:tr>
      <w:tr>
        <w:tc>
          <w:tcPr/>
          <w:p>
            <w:pPr>
              <w:pStyle w:val="SourceCode"/>
              <w:jc w:val="left"/>
            </w:pPr>
            <w:r>
              <w:rPr>
                <w:rStyle w:val="VerbatimChar"/>
              </w:rPr>
              <w:t xml:space="preserve">   null</w:t>
            </w:r>
            <w:r>
              <w:br/>
            </w:r>
            <w:r>
              <w:rPr>
                <w:rStyle w:val="VerbatimChar"/>
              </w:rPr>
              <w:t xml:space="preserve">     MD</w:t>
            </w:r>
            <w:r>
              <w:br/>
            </w:r>
            <w:r>
              <w:rPr>
                <w:rStyle w:val="VerbatimChar"/>
              </w:rPr>
              <w:t xml:space="preserve">    PhD</w:t>
            </w:r>
            <w:r>
              <w:br/>
            </w:r>
            <w:r>
              <w:rPr>
                <w:rStyle w:val="VerbatimChar"/>
              </w:rPr>
              <w:t xml:space="preserve">MD, PhD</w:t>
            </w:r>
            <w:r>
              <w:br/>
            </w:r>
            <w:r>
              <w:rPr>
                <w:rStyle w:val="VerbatimChar"/>
              </w:rPr>
              <w:t xml:space="preserve">   M.D.</w:t>
            </w:r>
            <w:r>
              <w:br/>
            </w:r>
            <w:r>
              <w:rPr>
                <w:rStyle w:val="VerbatimChar"/>
              </w:rPr>
              <w:t xml:space="preserve">    Dr.</w:t>
            </w:r>
            <w:r>
              <w:br/>
            </w:r>
            <w:r>
              <w:rPr>
                <w:rStyle w:val="VerbatimChar"/>
              </w:rPr>
              <w:t xml:space="preserve">    MSc</w:t>
            </w:r>
            <w:r>
              <w:br/>
            </w:r>
            <w:r>
              <w:rPr>
                <w:rStyle w:val="VerbatimChar"/>
              </w:rPr>
              <w:t xml:space="preserve">    MPH</w:t>
            </w:r>
          </w:p>
          <w:p>
            <w:pPr>
              <w:jc w:val="left"/>
            </w:pPr>
            <w:r>
              <w:t xml:space="preserve">Prof., PhD</w:t>
            </w:r>
            <w:r>
              <w:t xml:space="preserve"> </w:t>
            </w:r>
            <w:r>
              <w:t xml:space="preserve">Ph.D.</w:t>
            </w:r>
            <w:r>
              <w:t xml:space="preserve"> </w:t>
            </w:r>
            <w:r>
              <w:t xml:space="preserve">MS</w:t>
            </w:r>
            <w:r>
              <w:t xml:space="preserve"> </w:t>
            </w:r>
            <w:r>
              <w:t xml:space="preserve">MD PhD</w:t>
            </w:r>
            <w:r>
              <w:t xml:space="preserve"> </w:t>
            </w:r>
            <w:r>
              <w:t xml:space="preserve">MD.</w:t>
            </w:r>
            <w:r>
              <w:t xml:space="preserve"> </w:t>
            </w:r>
            <w:r>
              <w:t xml:space="preserve">Prof. MD</w:t>
            </w:r>
            <w:r>
              <w:t xml:space="preserve"> </w:t>
            </w:r>
            <w:r>
              <w:t xml:space="preserve">Prof. PhD</w:t>
            </w:r>
            <w:r>
              <w:t xml:space="preserve"> </w:t>
            </w:r>
            <w:r>
              <w:t xml:space="preserve">BS</w:t>
            </w:r>
            <w:r>
              <w:t xml:space="preserve"> </w:t>
            </w:r>
            <w:r>
              <w:t xml:space="preserve">Prof</w:t>
            </w:r>
            <w:r>
              <w:t xml:space="preserve"> </w:t>
            </w:r>
            <w:r>
              <w:t xml:space="preserve">BA</w:t>
            </w:r>
            <w:r>
              <w:t xml:space="preserve"> </w:t>
            </w:r>
            <w:r>
              <w:t xml:space="preserve">M.D., Ph.D.</w:t>
            </w:r>
            <w:r>
              <w:t xml:space="preserve"> </w:t>
            </w:r>
            <w:r>
              <w:t xml:space="preserve">MD, MPH</w:t>
            </w:r>
          </w:p>
        </w:tc>
        <w:tc>
          <w:tcPr/>
          <w:p>
            <w:pPr>
              <w:pStyle w:val="Compact"/>
              <w:jc w:val="left"/>
            </w:pPr>
            <w:r>
              <w:t xml:space="preserve">656440</w:t>
            </w:r>
            <w:r>
              <w:t xml:space="preserve"> </w:t>
            </w:r>
            <w:r>
              <w:t xml:space="preserve">8190</w:t>
            </w:r>
            <w:r>
              <w:t xml:space="preserve"> </w:t>
            </w:r>
            <w:r>
              <w:t xml:space="preserve">3879</w:t>
            </w:r>
            <w:r>
              <w:t xml:space="preserve"> </w:t>
            </w:r>
            <w:r>
              <w:t xml:space="preserve">1267</w:t>
            </w:r>
            <w:r>
              <w:t xml:space="preserve"> </w:t>
            </w:r>
            <w:r>
              <w:t xml:space="preserve">1002</w:t>
            </w:r>
            <w:r>
              <w:t xml:space="preserve"> </w:t>
            </w:r>
            <w:r>
              <w:t xml:space="preserve">490</w:t>
            </w:r>
            <w:r>
              <w:t xml:space="preserve"> </w:t>
            </w:r>
            <w:r>
              <w:t xml:space="preserve">461</w:t>
            </w:r>
            <w:r>
              <w:t xml:space="preserve"> </w:t>
            </w:r>
            <w:r>
              <w:t xml:space="preserve">368</w:t>
            </w:r>
            <w:r>
              <w:t xml:space="preserve"> </w:t>
            </w:r>
            <w:r>
              <w:t xml:space="preserve">349</w:t>
            </w:r>
            <w:r>
              <w:t xml:space="preserve"> </w:t>
            </w:r>
            <w:r>
              <w:t xml:space="preserve">348</w:t>
            </w:r>
            <w:r>
              <w:t xml:space="preserve"> </w:t>
            </w:r>
            <w:r>
              <w:t xml:space="preserve">330</w:t>
            </w:r>
            <w:r>
              <w:t xml:space="preserve"> </w:t>
            </w:r>
            <w:r>
              <w:t xml:space="preserve">285</w:t>
            </w:r>
            <w:r>
              <w:t xml:space="preserve"> </w:t>
            </w:r>
            <w:r>
              <w:t xml:space="preserve">279</w:t>
            </w:r>
            <w:r>
              <w:t xml:space="preserve"> </w:t>
            </w:r>
            <w:r>
              <w:t xml:space="preserve">266</w:t>
            </w:r>
            <w:r>
              <w:t xml:space="preserve"> </w:t>
            </w:r>
            <w:r>
              <w:t xml:space="preserve">239</w:t>
            </w:r>
            <w:r>
              <w:t xml:space="preserve"> </w:t>
            </w:r>
            <w:r>
              <w:t xml:space="preserve">232</w:t>
            </w:r>
            <w:r>
              <w:t xml:space="preserve"> </w:t>
            </w:r>
            <w:r>
              <w:t xml:space="preserve">220</w:t>
            </w:r>
            <w:r>
              <w:t xml:space="preserve"> </w:t>
            </w:r>
            <w:r>
              <w:t xml:space="preserve">196</w:t>
            </w:r>
            <w:r>
              <w:t xml:space="preserve"> </w:t>
            </w:r>
            <w:r>
              <w:t xml:space="preserve">191</w:t>
            </w:r>
            <w:r>
              <w:t xml:space="preserve"> </w:t>
            </w:r>
            <w:r>
              <w:t xml:space="preserve">158</w:t>
            </w:r>
          </w:p>
        </w:tc>
      </w:tr>
    </w:tbl>
    <w:p>
      <w:pPr>
        <w:pStyle w:val="Textkrper"/>
      </w:pPr>
      <w:r>
        <w:rPr>
          <w:iCs/>
          <w:i/>
          <w:bCs/>
          <w:b/>
        </w:rPr>
        <w:t xml:space="preserve">Types of Publications</w:t>
      </w:r>
      <w:r>
        <w:t xml:space="preserve">.</w:t>
      </w:r>
    </w:p>
    <w:p>
      <w:pPr>
        <w:numPr>
          <w:ilvl w:val="0"/>
          <w:numId w:val="1012"/>
        </w:numPr>
        <w:pStyle w:val="Compact"/>
      </w:pPr>
      <w:r>
        <w:t xml:space="preserve">We will summarize the coded types of publications for individuals.</w:t>
      </w:r>
    </w:p>
    <w:p>
      <w:pPr>
        <w:pStyle w:val="FirstParagraph"/>
      </w:pPr>
      <w:r>
        <w:drawing>
          <wp:inline>
            <wp:extent cx="4587290" cy="3669832"/>
            <wp:effectExtent b="0" l="0" r="0" t="0"/>
            <wp:docPr descr="" title="" id="55" name="Picture"/>
            <a:graphic>
              <a:graphicData uri="http://schemas.openxmlformats.org/drawingml/2006/picture">
                <pic:pic>
                  <pic:nvPicPr>
                    <pic:cNvPr descr="manuscript_scopus_files/figure-docx/unnamed-chunk-15-1.png" id="56" name="Picture"/>
                    <pic:cNvPicPr>
                      <a:picLocks noChangeArrowheads="1" noChangeAspect="1"/>
                    </pic:cNvPicPr>
                  </pic:nvPicPr>
                  <pic:blipFill>
                    <a:blip r:embed="rId54"/>
                    <a:stretch>
                      <a:fillRect/>
                    </a:stretch>
                  </pic:blipFill>
                  <pic:spPr bwMode="auto">
                    <a:xfrm>
                      <a:off x="0" y="0"/>
                      <a:ext cx="4587290" cy="3669832"/>
                    </a:xfrm>
                    <a:prstGeom prst="rect">
                      <a:avLst/>
                    </a:prstGeom>
                    <a:noFill/>
                    <a:ln w="9525">
                      <a:noFill/>
                      <a:headEnd/>
                      <a:tailEnd/>
                    </a:ln>
                  </pic:spPr>
                </pic:pic>
              </a:graphicData>
            </a:graphic>
          </wp:inline>
        </w:drawing>
      </w:r>
    </w:p>
    <w:bookmarkEnd w:id="57"/>
    <w:bookmarkEnd w:id="58"/>
    <w:bookmarkEnd w:id="59"/>
    <w:bookmarkStart w:id="60" w:name="X9942b7510fbdf4aa258aace4d3476e739ca35ec"/>
    <w:p>
      <w:pPr>
        <w:pStyle w:val="berschrift1"/>
      </w:pPr>
      <w:r>
        <w:t xml:space="preserve">can probably figure out how to combine these feasibly to make it readable</w:t>
      </w:r>
    </w:p>
    <w:bookmarkEnd w:id="60"/>
    <w:bookmarkStart w:id="82" w:name="Xe7a1437775fa49ed143cfb7b297addf34a5987e"/>
    <w:p>
      <w:pPr>
        <w:pStyle w:val="berschrift1"/>
      </w:pPr>
      <w:r>
        <w:t xml:space="preserve">ab Abstract Report, ar Article, ip Article in Press, bk Book, bz Business Article, ch Book Chapter, cp Conference Paper, cr Conference Review, dp Data paper, ed Editorial, er Erratum, le Letter, no Note, pp Preprint, pr Press Release, rp Report, re Review, sh Survey, tb Retracted.</w:t>
      </w:r>
    </w:p>
    <w:p>
      <w:pPr>
        <w:pStyle w:val="FirstParagraph"/>
      </w:pPr>
      <w:r>
        <w:rPr>
          <w:iCs/>
          <w:i/>
          <w:bCs/>
          <w:b/>
        </w:rPr>
        <w:t xml:space="preserve">Publication Metrics</w:t>
      </w:r>
      <w:r>
        <w:t xml:space="preserve">.</w:t>
      </w:r>
    </w:p>
    <w:p>
      <w:pPr>
        <w:numPr>
          <w:ilvl w:val="0"/>
          <w:numId w:val="1013"/>
        </w:numPr>
        <w:pStyle w:val="Compact"/>
      </w:pPr>
      <w:r>
        <w:t xml:space="preserve">We will report descriptive statistics on the total number of publications and h-index for individuals overall.</w:t>
      </w:r>
    </w:p>
    <w:p>
      <w:pPr>
        <w:numPr>
          <w:ilvl w:val="1"/>
          <w:numId w:val="1014"/>
        </w:numPr>
        <w:pStyle w:val="Compact"/>
      </w:pPr>
      <w:r>
        <w:t xml:space="preserve">Do this for each unique person and report averages</w:t>
      </w:r>
    </w:p>
    <w:p>
      <w:pPr>
        <w:numPr>
          <w:ilvl w:val="1"/>
          <w:numId w:val="1014"/>
        </w:numPr>
        <w:pStyle w:val="Compact"/>
      </w:pPr>
      <w:r>
        <w:t xml:space="preserve">Do this for each publication and create an average for each publication</w:t>
      </w:r>
    </w:p>
    <w:p>
      <w:pPr>
        <w:pStyle w:val="FirstParagraph"/>
      </w:pPr>
      <w:r>
        <w:t xml:space="preserve">The average number of publications by authors on big team sciences papers is</w:t>
      </w:r>
      <w:r>
        <w:t xml:space="preserve"> </w:t>
      </w:r>
      <w:r>
        <w:rPr>
          <w:iCs/>
          <w:i/>
        </w:rPr>
        <w:t xml:space="preserve">M</w:t>
      </w:r>
      <w:r>
        <w:t xml:space="preserve"> </w:t>
      </w:r>
      <w:r>
        <w:t xml:space="preserve">= 4.45 (</w:t>
      </w:r>
      <w:r>
        <w:rPr>
          <w:iCs/>
          <w:i/>
        </w:rPr>
        <w:t xml:space="preserve">SD</w:t>
      </w:r>
      <w:r>
        <w:t xml:space="preserve"> </w:t>
      </w:r>
      <w:r>
        <w:t xml:space="preserve">= 6.90). The publication counts were averaged across authors for each publication, and then these average publication counts were averaged across publications</w:t>
      </w:r>
      <w:r>
        <w:t xml:space="preserve"> </w:t>
      </w:r>
      <w:r>
        <w:rPr>
          <w:iCs/>
          <w:i/>
        </w:rPr>
        <w:t xml:space="preserve">M</w:t>
      </w:r>
      <w:r>
        <w:t xml:space="preserve"> </w:t>
      </w:r>
      <w:r>
        <w:t xml:space="preserve">= 7.58 (</w:t>
      </w:r>
      <w:r>
        <w:rPr>
          <w:iCs/>
          <w:i/>
        </w:rPr>
        <w:t xml:space="preserve">SD</w:t>
      </w:r>
      <w:r>
        <w:t xml:space="preserve"> </w:t>
      </w:r>
      <w:r>
        <w:t xml:space="preserve">= 5.80). The average variability (i.e., the average standard deviation with authors of a manuscript) with publication counts of a paper was</w:t>
      </w:r>
      <w:r>
        <w:t xml:space="preserve"> </w:t>
      </w:r>
      <m:oMath>
        <m:sSub>
          <m:e>
            <m:r>
              <m:t>M</m:t>
            </m:r>
          </m:e>
          <m:sub>
            <m:r>
              <m:t>S</m:t>
            </m:r>
            <m:r>
              <m:t>D</m:t>
            </m:r>
          </m:sub>
        </m:sSub>
      </m:oMath>
      <w:r>
        <w:t xml:space="preserve"> </w:t>
      </w:r>
      <w:r>
        <w:t xml:space="preserve">= 7.14 (</w:t>
      </w:r>
      <m:oMath>
        <m:r>
          <m:t>S</m:t>
        </m:r>
        <m:sSub>
          <m:e>
            <m:r>
              <m:t>D</m:t>
            </m:r>
          </m:e>
          <m:sub>
            <m:r>
              <m:t>S</m:t>
            </m:r>
            <m:r>
              <m:t>D</m:t>
            </m:r>
          </m:sub>
        </m:sSub>
      </m:oMath>
      <w:r>
        <w:t xml:space="preserve"> </w:t>
      </w:r>
      <w:r>
        <w:t xml:space="preserve">= 5.10).</w:t>
      </w:r>
    </w:p>
    <w:p>
      <w:pPr>
        <w:pStyle w:val="Textkrper"/>
      </w:pPr>
      <w:r>
        <w:t xml:space="preserve">The same process was completed with</w:t>
      </w:r>
      <w:r>
        <w:t xml:space="preserve"> </w:t>
      </w:r>
      <w:r>
        <w:rPr>
          <w:iCs/>
          <w:i/>
        </w:rPr>
        <w:t xml:space="preserve">h</w:t>
      </w:r>
      <w:r>
        <w:t xml:space="preserve">-index for each author and publication. The average</w:t>
      </w:r>
      <w:r>
        <w:t xml:space="preserve"> </w:t>
      </w:r>
      <w:r>
        <w:rPr>
          <w:iCs/>
          <w:i/>
        </w:rPr>
        <w:t xml:space="preserve">h</w:t>
      </w:r>
      <w:r>
        <w:t xml:space="preserve">-index for authors overall was</w:t>
      </w:r>
      <w:r>
        <w:t xml:space="preserve"> </w:t>
      </w:r>
      <w:r>
        <w:rPr>
          <w:iCs/>
          <w:i/>
        </w:rPr>
        <w:t xml:space="preserve">M</w:t>
      </w:r>
      <w:r>
        <w:t xml:space="preserve"> </w:t>
      </w:r>
      <w:r>
        <w:t xml:space="preserve">= 14.24 (</w:t>
      </w:r>
      <w:r>
        <w:rPr>
          <w:iCs/>
          <w:i/>
        </w:rPr>
        <w:t xml:space="preserve">SD</w:t>
      </w:r>
      <w:r>
        <w:t xml:space="preserve"> </w:t>
      </w:r>
      <w:r>
        <w:t xml:space="preserve">= 43.80,</w:t>
      </w:r>
      <w:r>
        <w:t xml:space="preserve"> </w:t>
      </w:r>
      <w:r>
        <w:rPr>
          <w:iCs/>
          <w:i/>
        </w:rPr>
        <w:t xml:space="preserve">Med</w:t>
      </w:r>
      <w:r>
        <w:t xml:space="preserve"> </w:t>
      </w:r>
      <w:r>
        <w:t xml:space="preserve">= 2.00). The average</w:t>
      </w:r>
      <w:r>
        <w:t xml:space="preserve"> </w:t>
      </w:r>
      <w:r>
        <w:rPr>
          <w:iCs/>
          <w:i/>
        </w:rPr>
        <w:t xml:space="preserve">h</w:t>
      </w:r>
      <w:r>
        <w:t xml:space="preserve">-index for publications was</w:t>
      </w:r>
      <w:r>
        <w:t xml:space="preserve"> </w:t>
      </w:r>
      <w:r>
        <w:rPr>
          <w:iCs/>
          <w:i/>
        </w:rPr>
        <w:t xml:space="preserve">M</w:t>
      </w:r>
      <w:r>
        <w:t xml:space="preserve"> </w:t>
      </w:r>
      <w:r>
        <w:t xml:space="preserve">= 28.14 (</w:t>
      </w:r>
      <w:r>
        <w:rPr>
          <w:iCs/>
          <w:i/>
        </w:rPr>
        <w:t xml:space="preserve">SD</w:t>
      </w:r>
      <w:r>
        <w:t xml:space="preserve"> </w:t>
      </w:r>
      <w:r>
        <w:t xml:space="preserve">= 38.01), and the variability of</w:t>
      </w:r>
      <w:r>
        <w:t xml:space="preserve"> </w:t>
      </w:r>
      <w:r>
        <w:rPr>
          <w:iCs/>
          <w:i/>
        </w:rPr>
        <w:t xml:space="preserve">h</w:t>
      </w:r>
      <w:r>
        <w:t xml:space="preserve">-index across manuscripts was</w:t>
      </w:r>
      <w:r>
        <w:t xml:space="preserve"> </w:t>
      </w:r>
      <m:oMath>
        <m:sSub>
          <m:e>
            <m:r>
              <m:t>M</m:t>
            </m:r>
          </m:e>
          <m:sub>
            <m:r>
              <m:t>S</m:t>
            </m:r>
            <m:r>
              <m:t>D</m:t>
            </m:r>
          </m:sub>
        </m:sSub>
      </m:oMath>
      <w:r>
        <w:t xml:space="preserve"> </w:t>
      </w:r>
      <w:r>
        <w:t xml:space="preserve">= 36.43 (</w:t>
      </w:r>
      <m:oMath>
        <m:r>
          <m:t>S</m:t>
        </m:r>
        <m:sSub>
          <m:e>
            <m:r>
              <m:t>D</m:t>
            </m:r>
          </m:e>
          <m:sub>
            <m:r>
              <m:t>S</m:t>
            </m:r>
            <m:r>
              <m:t>D</m:t>
            </m:r>
          </m:sub>
        </m:sSub>
      </m:oMath>
      <w:r>
        <w:t xml:space="preserve"> </w:t>
      </w:r>
      <w:r>
        <w:t xml:space="preserve">= 46.47,</w:t>
      </w:r>
      <w:r>
        <w:t xml:space="preserve"> </w:t>
      </w:r>
      <m:oMath>
        <m:r>
          <m:t>M</m:t>
        </m:r>
        <m:r>
          <m:t>e</m:t>
        </m:r>
        <m:sSub>
          <m:e>
            <m:r>
              <m:t>d</m:t>
            </m:r>
          </m:e>
          <m:sub>
            <m:r>
              <m:t>M</m:t>
            </m:r>
            <m:r>
              <m:t>e</m:t>
            </m:r>
            <m:r>
              <m:t>d</m:t>
            </m:r>
          </m:sub>
        </m:sSub>
      </m:oMath>
      <w:r>
        <w:t xml:space="preserve"> </w:t>
      </w:r>
      <w:r>
        <w:t xml:space="preserve">= 5.00).</w:t>
      </w:r>
    </w:p>
    <w:p>
      <w:pPr>
        <w:numPr>
          <w:ilvl w:val="0"/>
          <w:numId w:val="1015"/>
        </w:numPr>
        <w:pStyle w:val="Compact"/>
      </w:pPr>
      <w:r>
        <w:t xml:space="preserve">Next, we will use the same analyses described in the career length section to analyze trends over time. An increasing slope over time indicates that individuals who are publishing more are more represented in BTS over time (i.e., increasing numbers of scholars with higher publication rates), while a negative slope indicates more researchers with less publications.</w:t>
      </w:r>
    </w:p>
    <w:p>
      <w:pPr>
        <w:numPr>
          <w:ilvl w:val="0"/>
          <w:numId w:val="1015"/>
        </w:numPr>
        <w:pStyle w:val="Compact"/>
      </w:pPr>
      <w:r>
        <w:t xml:space="preserve">A positive slope for standard deviation indicates increasing variance over time (i.e., more diversity in the individual publication rates), while a negative slope would indicate less diversity in researchers over time. While publication rates do not represent value as a researcher, they are often used in hiring and promotion decisions, and we will use this variable as a proxy to gauge the diversity in scholars represented in big teams.</w:t>
      </w:r>
    </w:p>
    <w:p>
      <w:pPr>
        <w:numPr>
          <w:ilvl w:val="0"/>
          <w:numId w:val="1015"/>
        </w:numPr>
        <w:pStyle w:val="Compact"/>
      </w:pPr>
      <w:r>
        <w:t xml:space="preserve">We will separate these by each of the four subject areas.</w:t>
      </w:r>
    </w:p>
    <w:p>
      <w:pPr>
        <w:pStyle w:val="FirstParagraph"/>
      </w:pPr>
      <w:r>
        <w:drawing>
          <wp:inline>
            <wp:extent cx="4587290" cy="3669832"/>
            <wp:effectExtent b="0" l="0" r="0" t="0"/>
            <wp:docPr descr="" title="" id="62" name="Picture"/>
            <a:graphic>
              <a:graphicData uri="http://schemas.openxmlformats.org/drawingml/2006/picture">
                <pic:pic>
                  <pic:nvPicPr>
                    <pic:cNvPr descr="manuscript_scopus_files/figure-docx/unnamed-chunk-17-1.png" id="63" name="Picture"/>
                    <pic:cNvPicPr>
                      <a:picLocks noChangeArrowheads="1" noChangeAspect="1"/>
                    </pic:cNvPicPr>
                  </pic:nvPicPr>
                  <pic:blipFill>
                    <a:blip r:embed="rId6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rPr>
          <w:iCs/>
          <w:i/>
          <w:bCs/>
          <w:b/>
        </w:rPr>
        <w:t xml:space="preserve">Geopolitical Regions</w:t>
      </w:r>
      <w:r>
        <w:t xml:space="preserve">.</w:t>
      </w:r>
    </w:p>
    <w:p>
      <w:pPr>
        <w:numPr>
          <w:ilvl w:val="0"/>
          <w:numId w:val="1016"/>
        </w:numPr>
        <w:pStyle w:val="Compact"/>
      </w:pPr>
      <w:r>
        <w:t xml:space="preserve">We will present visualizations of the country information listed for</w:t>
      </w:r>
      <w:r>
        <w:t xml:space="preserve"> </w:t>
      </w:r>
      <w:r>
        <w:t xml:space="preserve">authors, and we will discuss the areas of world in which authors</w:t>
      </w:r>
      <w:r>
        <w:t xml:space="preserve"> </w:t>
      </w:r>
      <w:r>
        <w:t xml:space="preserve">generally come from, as well as the lowest representation of</w:t>
      </w:r>
      <w:r>
        <w:t xml:space="preserve"> </w:t>
      </w:r>
      <w:r>
        <w:t xml:space="preserve">authors.</w:t>
      </w:r>
    </w:p>
    <w:p>
      <w:pPr>
        <w:pStyle w:val="FirstParagraph"/>
      </w:pPr>
      <w:r>
        <w:drawing>
          <wp:inline>
            <wp:extent cx="4587290" cy="3669832"/>
            <wp:effectExtent b="0" l="0" r="0" t="0"/>
            <wp:docPr descr="" title="" id="65" name="Picture"/>
            <a:graphic>
              <a:graphicData uri="http://schemas.openxmlformats.org/drawingml/2006/picture">
                <pic:pic>
                  <pic:nvPicPr>
                    <pic:cNvPr descr="manuscript_scopus_files/figure-docx/geo-map-1.png" id="66" name="Picture"/>
                    <pic:cNvPicPr>
                      <a:picLocks noChangeArrowheads="1" noChangeAspect="1"/>
                    </pic:cNvPicPr>
                  </pic:nvPicPr>
                  <pic:blipFill>
                    <a:blip r:embed="rId64"/>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68" name="Picture"/>
            <a:graphic>
              <a:graphicData uri="http://schemas.openxmlformats.org/drawingml/2006/picture">
                <pic:pic>
                  <pic:nvPicPr>
                    <pic:cNvPr descr="manuscript_scopus_files/figure-docx/geo-map-2.png" id="69" name="Picture"/>
                    <pic:cNvPicPr>
                      <a:picLocks noChangeArrowheads="1" noChangeAspect="1"/>
                    </pic:cNvPicPr>
                  </pic:nvPicPr>
                  <pic:blipFill>
                    <a:blip r:embed="rId67"/>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Warning in countrycode_convert(sourcevar = sourcevar, origin = origin, destination = dest, : Some values were not matched unambiguously: ANT, EUE, TWN</w:t>
      </w:r>
      <w:r>
        <w:br/>
      </w:r>
      <w:r>
        <w:br/>
      </w:r>
      <w:r>
        <w:rPr>
          <w:rStyle w:val="VerbatimChar"/>
        </w:rPr>
        <w:t xml:space="preserve">## Warning in countrycode_convert(sourcevar = sourcevar, origin = origin, destination = dest, : Some values were not matched unambiguously: ANT, EUE, TWN</w:t>
      </w:r>
    </w:p>
    <w:p>
      <w:pPr>
        <w:pStyle w:val="FirstParagraph"/>
      </w:pPr>
      <w:r>
        <w:drawing>
          <wp:inline>
            <wp:extent cx="4587290" cy="3669832"/>
            <wp:effectExtent b="0" l="0" r="0" t="0"/>
            <wp:docPr descr="" title="" id="71" name="Picture"/>
            <a:graphic>
              <a:graphicData uri="http://schemas.openxmlformats.org/drawingml/2006/picture">
                <pic:pic>
                  <pic:nvPicPr>
                    <pic:cNvPr descr="manuscript_scopus_files/figure-docx/geo-map-3.png" id="72" name="Picture"/>
                    <pic:cNvPicPr>
                      <a:picLocks noChangeArrowheads="1" noChangeAspect="1"/>
                    </pic:cNvPicPr>
                  </pic:nvPicPr>
                  <pic:blipFill>
                    <a:blip r:embed="rId70"/>
                    <a:stretch>
                      <a:fillRect/>
                    </a:stretch>
                  </pic:blipFill>
                  <pic:spPr bwMode="auto">
                    <a:xfrm>
                      <a:off x="0" y="0"/>
                      <a:ext cx="4587290" cy="3669832"/>
                    </a:xfrm>
                    <a:prstGeom prst="rect">
                      <a:avLst/>
                    </a:prstGeom>
                    <a:noFill/>
                    <a:ln w="9525">
                      <a:noFill/>
                      <a:headEnd/>
                      <a:tailEnd/>
                    </a:ln>
                  </pic:spPr>
                </pic:pic>
              </a:graphicData>
            </a:graphic>
          </wp:inline>
        </w:drawing>
      </w:r>
    </w:p>
    <w:p>
      <w:pPr>
        <w:numPr>
          <w:ilvl w:val="0"/>
          <w:numId w:val="1017"/>
        </w:numPr>
        <w:pStyle w:val="Compact"/>
      </w:pPr>
      <w:r>
        <w:t xml:space="preserve">To understand the change in representation diversity, we will</w:t>
      </w:r>
      <w:r>
        <w:t xml:space="preserve"> </w:t>
      </w:r>
      <w:r>
        <w:t xml:space="preserve">summarize the total number of geopolitical regions for each paper.</w:t>
      </w:r>
      <w:r>
        <w:t xml:space="preserve"> </w:t>
      </w:r>
      <w:r>
        <w:t xml:space="preserve">Using a linear model, we will examine if the number of regions</w:t>
      </w:r>
      <w:r>
        <w:t xml:space="preserve"> </w:t>
      </w:r>
      <w:r>
        <w:t xml:space="preserve">present is predicted by the year of publication. Increasing</w:t>
      </w:r>
      <w:r>
        <w:t xml:space="preserve"> </w:t>
      </w:r>
      <w:r>
        <w:t xml:space="preserve">diversity would be represented by a positive slope, while decreasing</w:t>
      </w:r>
      <w:r>
        <w:t xml:space="preserve"> </w:t>
      </w:r>
      <w:r>
        <w:t xml:space="preserve">diversity would be represented by a negative slope.</w:t>
      </w:r>
    </w:p>
    <w:p>
      <w:pPr>
        <w:pStyle w:val="FirstParagraph"/>
      </w:pPr>
      <w:r>
        <w:drawing>
          <wp:inline>
            <wp:extent cx="4587290" cy="3669832"/>
            <wp:effectExtent b="0" l="0" r="0" t="0"/>
            <wp:docPr descr="" title="" id="74" name="Picture"/>
            <a:graphic>
              <a:graphicData uri="http://schemas.openxmlformats.org/drawingml/2006/picture">
                <pic:pic>
                  <pic:nvPicPr>
                    <pic:cNvPr descr="manuscript_scopus_files/figure-docx/unnamed-chunk-18-1.png" id="75" name="Picture"/>
                    <pic:cNvPicPr>
                      <a:picLocks noChangeArrowheads="1" noChangeAspect="1"/>
                    </pic:cNvPicPr>
                  </pic:nvPicPr>
                  <pic:blipFill>
                    <a:blip r:embed="rId73"/>
                    <a:stretch>
                      <a:fillRect/>
                    </a:stretch>
                  </pic:blipFill>
                  <pic:spPr bwMode="auto">
                    <a:xfrm>
                      <a:off x="0" y="0"/>
                      <a:ext cx="4587290" cy="3669832"/>
                    </a:xfrm>
                    <a:prstGeom prst="rect">
                      <a:avLst/>
                    </a:prstGeom>
                    <a:noFill/>
                    <a:ln w="9525">
                      <a:noFill/>
                      <a:headEnd/>
                      <a:tailEnd/>
                    </a:ln>
                  </pic:spPr>
                </pic:pic>
              </a:graphicData>
            </a:graphic>
          </wp:inline>
        </w:drawing>
      </w:r>
    </w:p>
    <w:p>
      <w:pPr>
        <w:numPr>
          <w:ilvl w:val="0"/>
          <w:numId w:val="1018"/>
        </w:numPr>
        <w:pStyle w:val="Compact"/>
      </w:pPr>
      <w:r>
        <w:t xml:space="preserve">Last, we will examine the differences in representation for</w:t>
      </w:r>
      <w:r>
        <w:t xml:space="preserve"> </w:t>
      </w:r>
      <w:r>
        <w:t xml:space="preserve">corresponding author sets versus all other authors. For papers with</w:t>
      </w:r>
      <w:r>
        <w:t xml:space="preserve"> </w:t>
      </w:r>
      <w:r>
        <w:t xml:space="preserve">10 to 49 authors, we will use the three first authors and the last</w:t>
      </w:r>
      <w:r>
        <w:t xml:space="preserve"> </w:t>
      </w:r>
      <w:r>
        <w:t xml:space="preserve">author to compare against other authors. For 50 to 99 authors, five</w:t>
      </w:r>
      <w:r>
        <w:t xml:space="preserve"> </w:t>
      </w:r>
      <w:r>
        <w:t xml:space="preserve">first authors plus last will be used, and for all papers with more</w:t>
      </w:r>
      <w:r>
        <w:t xml:space="preserve"> </w:t>
      </w:r>
      <w:r>
        <w:t xml:space="preserve">than 100 authors, we will use ten first authors and the last author.</w:t>
      </w:r>
      <w:r>
        <w:t xml:space="preserve"> </w:t>
      </w:r>
      <w:r>
        <w:t xml:space="preserve">We will calculate the frequencies of each of the UN Sub-Regions for</w:t>
      </w:r>
      <w:r>
        <w:t xml:space="preserve"> </w:t>
      </w:r>
      <w:r>
        <w:t xml:space="preserve">first authors versus other authors, converting these values to</w:t>
      </w:r>
      <w:r>
        <w:t xml:space="preserve"> </w:t>
      </w:r>
      <w:r>
        <w:t xml:space="preserve">proportions. Given the expected small sample sizes of these</w:t>
      </w:r>
      <w:r>
        <w:t xml:space="preserve"> </w:t>
      </w:r>
      <w:r>
        <w:t xml:space="preserve">contingency tables, we will group together titles based on the year</w:t>
      </w:r>
      <w:r>
        <w:t xml:space="preserve"> </w:t>
      </w:r>
      <w:r>
        <w:t xml:space="preserve">of publication (assuming at least 5 publications per year, these may</w:t>
      </w:r>
      <w:r>
        <w:t xml:space="preserve"> </w:t>
      </w:r>
      <w:r>
        <w:t xml:space="preserve">be binned by 5-year or smaller increments to increase sample size).</w:t>
      </w:r>
      <w:r>
        <w:t xml:space="preserve"> </w:t>
      </w:r>
      <w:r>
        <w:t xml:space="preserve">For each grouping, we will calculate the effect size of the</w:t>
      </w:r>
      <w:r>
        <w:t xml:space="preserve"> </w:t>
      </w:r>
      <w:r>
        <w:t xml:space="preserve">differences in frequencies comparing first authors to all other</w:t>
      </w:r>
      <w:r>
        <w:t xml:space="preserve"> </w:t>
      </w:r>
      <w:r>
        <w:t xml:space="preserve">authors. Since this data is categorical, we will use Cramer’s</w:t>
      </w:r>
      <w:r>
        <w:t xml:space="preserve"> </w:t>
      </w:r>
      <w:r>
        <w:rPr>
          <w:iCs/>
          <w:i/>
        </w:rPr>
        <w:t xml:space="preserve">V</w:t>
      </w:r>
      <w:r>
        <w:t xml:space="preserve"> </w:t>
      </w:r>
      <w:r>
        <w:t xml:space="preserve">to</w:t>
      </w:r>
      <w:r>
        <w:t xml:space="preserve"> </w:t>
      </w:r>
      <w:r>
        <w:t xml:space="preserve">represent the effect size. If the effect size includes zero in its</w:t>
      </w:r>
      <w:r>
        <w:t xml:space="preserve"> </w:t>
      </w:r>
      <w:r>
        <w:t xml:space="preserve">confidence interval, this result will imply that first and all other</w:t>
      </w:r>
      <w:r>
        <w:t xml:space="preserve"> </w:t>
      </w:r>
      <w:r>
        <w:t xml:space="preserve">authors represent the same pattern of UN Sub-Region diversity. Any</w:t>
      </w:r>
      <w:r>
        <w:t xml:space="preserve"> </w:t>
      </w:r>
      <w:r>
        <w:t xml:space="preserve">confidence interval that does include zero represents a difference</w:t>
      </w:r>
      <w:r>
        <w:t xml:space="preserve"> </w:t>
      </w:r>
      <w:r>
        <w:t xml:space="preserve">in diversity.</w:t>
      </w:r>
    </w:p>
    <w:p>
      <w:pPr>
        <w:pStyle w:val="FirstParagraph"/>
      </w:pPr>
      <w:r>
        <w:drawing>
          <wp:inline>
            <wp:extent cx="4587290" cy="3669832"/>
            <wp:effectExtent b="0" l="0" r="0" t="0"/>
            <wp:docPr descr="" title="" id="77" name="Picture"/>
            <a:graphic>
              <a:graphicData uri="http://schemas.openxmlformats.org/drawingml/2006/picture">
                <pic:pic>
                  <pic:nvPicPr>
                    <pic:cNvPr descr="manuscript_scopus_files/figure-docx/author-gpe-figure-1.png" id="78" name="Picture"/>
                    <pic:cNvPicPr>
                      <a:picLocks noChangeArrowheads="1" noChangeAspect="1"/>
                    </pic:cNvPicPr>
                  </pic:nvPicPr>
                  <pic:blipFill>
                    <a:blip r:embed="rId76"/>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80" name="Picture"/>
            <a:graphic>
              <a:graphicData uri="http://schemas.openxmlformats.org/drawingml/2006/picture">
                <pic:pic>
                  <pic:nvPicPr>
                    <pic:cNvPr descr="manuscript_scopus_files/figure-docx/effect-gpe-figure-1.png" id="81" name="Picture"/>
                    <pic:cNvPicPr>
                      <a:picLocks noChangeArrowheads="1" noChangeAspect="1"/>
                    </pic:cNvPicPr>
                  </pic:nvPicPr>
                  <pic:blipFill>
                    <a:blip r:embed="rId79"/>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end up with a list of effect sizes by year by small medium large</w:t>
      </w:r>
      <w:r>
        <w:t xml:space="preserve"> </w:t>
      </w:r>
      <w:r>
        <w:t xml:space="preserve">x axis is year</w:t>
      </w:r>
      <w:r>
        <w:t xml:space="preserve"> </w:t>
      </w:r>
      <w:r>
        <w:t xml:space="preserve">y axis is the effect size and the confidence interval</w:t>
      </w:r>
      <w:r>
        <w:t xml:space="preserve"> </w:t>
      </w:r>
      <w:r>
        <w:t xml:space="preserve">if diversity is increasing then the patterns would be more similar (effect size of zero)</w:t>
      </w:r>
      <w:r>
        <w:t xml:space="preserve"> </w:t>
      </w:r>
      <w:r>
        <w:t xml:space="preserve">if diversity is not increasing then the patterns would be different (effect size does not include zero)</w:t>
      </w:r>
    </w:p>
    <w:p>
      <w:pPr>
        <w:pStyle w:val="Textkrper"/>
      </w:pPr>
      <w:r>
        <w:t xml:space="preserve">who is not represented in the</w:t>
      </w:r>
      <w:r>
        <w:t xml:space="preserve"> </w:t>
      </w:r>
      <w:r>
        <w:t xml:space="preserve">“</w:t>
      </w:r>
      <w:r>
        <w:t xml:space="preserve">corresponding</w:t>
      </w:r>
      <w:r>
        <w:t xml:space="preserve">”</w:t>
      </w:r>
      <w:r>
        <w:t xml:space="preserve"> </w:t>
      </w:r>
      <w:r>
        <w:t xml:space="preserve">spots - proportion chart by decades stacked bar chart of the decades</w:t>
      </w:r>
    </w:p>
    <w:p>
      <w:r>
        <w:br w:type="page"/>
      </w:r>
    </w:p>
    <w:bookmarkEnd w:id="82"/>
    <w:bookmarkStart w:id="177" w:name="references"/>
    <w:p>
      <w:pPr>
        <w:pStyle w:val="berschrift1"/>
      </w:pPr>
      <w:r>
        <w:t xml:space="preserve">References</w:t>
      </w:r>
    </w:p>
    <w:bookmarkStart w:id="176" w:name="refs"/>
    <w:bookmarkStart w:id="84" w:name="ref-aphilos2021"/>
    <w:p>
      <w:pPr>
        <w:pStyle w:val="Literaturverzeichnis"/>
      </w:pPr>
      <w:r>
        <w:t xml:space="preserve">A philosophical case for big physics. (2021).</w:t>
      </w:r>
      <w:r>
        <w:t xml:space="preserve"> </w:t>
      </w:r>
      <w:r>
        <w:rPr>
          <w:iCs/>
          <w:i/>
        </w:rPr>
        <w:t xml:space="preserve">Nature Physics</w:t>
      </w:r>
      <w:r>
        <w:t xml:space="preserve">,</w:t>
      </w:r>
      <w:r>
        <w:t xml:space="preserve"> </w:t>
      </w:r>
      <w:r>
        <w:rPr>
          <w:iCs/>
          <w:i/>
        </w:rPr>
        <w:t xml:space="preserve">17</w:t>
      </w:r>
      <w:r>
        <w:t xml:space="preserve">(6), 661–661.</w:t>
      </w:r>
      <w:r>
        <w:t xml:space="preserve"> </w:t>
      </w:r>
      <w:hyperlink r:id="rId83">
        <w:r>
          <w:rPr>
            <w:rStyle w:val="Hyperlink"/>
          </w:rPr>
          <w:t xml:space="preserve">https://doi.org/10.1038/s41567-021-01278-0</w:t>
        </w:r>
      </w:hyperlink>
    </w:p>
    <w:bookmarkEnd w:id="84"/>
    <w:bookmarkStart w:id="86" w:name="ref-allen2019"/>
    <w:p>
      <w:pPr>
        <w:pStyle w:val="Literaturverzeichnis"/>
      </w:pPr>
      <w:r>
        <w:t xml:space="preserve">Allen, L., O’Connell, A., &amp; Kiermer, V. (2019). How can we ensure visibility and diversity in research contributions? How the Contributor Role Taxonomy (CRediT) is helping the shift from authorship to contributorship.</w:t>
      </w:r>
      <w:r>
        <w:t xml:space="preserve"> </w:t>
      </w:r>
      <w:r>
        <w:rPr>
          <w:iCs/>
          <w:i/>
        </w:rPr>
        <w:t xml:space="preserve">Learned Publishing</w:t>
      </w:r>
      <w:r>
        <w:t xml:space="preserve">,</w:t>
      </w:r>
      <w:r>
        <w:t xml:space="preserve"> </w:t>
      </w:r>
      <w:r>
        <w:rPr>
          <w:iCs/>
          <w:i/>
        </w:rPr>
        <w:t xml:space="preserve">32</w:t>
      </w:r>
      <w:r>
        <w:t xml:space="preserve">(1), 71–74.</w:t>
      </w:r>
      <w:r>
        <w:t xml:space="preserve"> </w:t>
      </w:r>
      <w:hyperlink r:id="rId85">
        <w:r>
          <w:rPr>
            <w:rStyle w:val="Hyperlink"/>
          </w:rPr>
          <w:t xml:space="preserve">https://doi.org/10.1002/leap.1210</w:t>
        </w:r>
      </w:hyperlink>
    </w:p>
    <w:bookmarkEnd w:id="86"/>
    <w:bookmarkStart w:id="87" w:name="ref-auspurg2021has"/>
    <w:p>
      <w:pPr>
        <w:pStyle w:val="Literaturverzeichnis"/>
      </w:pPr>
      <w:r>
        <w:t xml:space="preserve">Auspurg, K., &amp; Brüderl, J. (2021). Has the credibility of the social sciences been credibly destroyed? Reanalyzing the</w:t>
      </w:r>
      <w:r>
        <w:t xml:space="preserve"> </w:t>
      </w:r>
      <w:r>
        <w:t xml:space="preserve">“</w:t>
      </w:r>
      <w:r>
        <w:t xml:space="preserve">many analysts, one data set</w:t>
      </w:r>
      <w:r>
        <w:t xml:space="preserve">”</w:t>
      </w:r>
      <w:r>
        <w:t xml:space="preserve"> </w:t>
      </w:r>
      <w:r>
        <w:t xml:space="preserve">project.</w:t>
      </w:r>
      <w:r>
        <w:t xml:space="preserve"> </w:t>
      </w:r>
      <w:r>
        <w:rPr>
          <w:iCs/>
          <w:i/>
        </w:rPr>
        <w:t xml:space="preserve">Socius : Sociological Research for a Dynamic World</w:t>
      </w:r>
      <w:r>
        <w:t xml:space="preserve">,</w:t>
      </w:r>
      <w:r>
        <w:t xml:space="preserve"> </w:t>
      </w:r>
      <w:r>
        <w:rPr>
          <w:iCs/>
          <w:i/>
        </w:rPr>
        <w:t xml:space="preserve">7</w:t>
      </w:r>
      <w:r>
        <w:t xml:space="preserve">, 23780231211024420.</w:t>
      </w:r>
    </w:p>
    <w:bookmarkEnd w:id="87"/>
    <w:bookmarkStart w:id="89" w:name="ref-bago2022"/>
    <w:p>
      <w:pPr>
        <w:pStyle w:val="Literaturverzeichnis"/>
      </w:pPr>
      <w:r>
        <w:t xml:space="preserve">Bago, B., Kovacs, M., Protzko, J., Nagy, T., Kekecs, Z., Palfi, B., Adamkovic, M., Adamus, S., Albalooshi, S., Albayrak-Aydemir, N., Alfian, I. N., Alper, S., Alvarez-Solas, S., Alves, S. G., Amaya, S., Andresen, P. K., Anjum, G., Ansari, D., Arriaga, P., … Aczel, B. (2022). Situational factors shape moral judgements in the trolley dilemma in Eastern, Southern and Western countries in a culturally diverse sample.</w:t>
      </w:r>
      <w:r>
        <w:t xml:space="preserve"> </w:t>
      </w:r>
      <w:r>
        <w:rPr>
          <w:iCs/>
          <w:i/>
        </w:rPr>
        <w:t xml:space="preserve">Nature Human Behaviour</w:t>
      </w:r>
      <w:r>
        <w:t xml:space="preserve">, 1–13.</w:t>
      </w:r>
      <w:r>
        <w:t xml:space="preserve"> </w:t>
      </w:r>
      <w:hyperlink r:id="rId88">
        <w:r>
          <w:rPr>
            <w:rStyle w:val="Hyperlink"/>
          </w:rPr>
          <w:t xml:space="preserve">https://doi.org/10.1038/s41562-022-01319-5</w:t>
        </w:r>
      </w:hyperlink>
    </w:p>
    <w:bookmarkEnd w:id="89"/>
    <w:bookmarkStart w:id="91" w:name="ref-buttrick2020"/>
    <w:p>
      <w:pPr>
        <w:pStyle w:val="Literaturverzeichnis"/>
      </w:pPr>
      <w:r>
        <w:t xml:space="preserve">Buttrick, N. R., Aczel, B., Aeschbach, L. F., Bakos, B. E., Brühlmann, F., Claypool, H. M., Hüffmeier, J., Kovacs, M., Schuepfer, K., Szecsi, P., Szuts, A., Szöke, O., Thomae, M., Torka, A.-K., Walker, R. J., &amp; Wood, M. J. (2020). Many Labs 5: Registered Replication of Vohs and Schooler (2008), Experiment 1.</w:t>
      </w:r>
      <w:r>
        <w:t xml:space="preserve"> </w:t>
      </w:r>
      <w:r>
        <w:rPr>
          <w:iCs/>
          <w:i/>
        </w:rPr>
        <w:t xml:space="preserve">Advances in Methods and Practices in Psychological Science</w:t>
      </w:r>
      <w:r>
        <w:t xml:space="preserve">,</w:t>
      </w:r>
      <w:r>
        <w:t xml:space="preserve"> </w:t>
      </w:r>
      <w:r>
        <w:rPr>
          <w:iCs/>
          <w:i/>
        </w:rPr>
        <w:t xml:space="preserve">3</w:t>
      </w:r>
      <w:r>
        <w:t xml:space="preserve">(3), 429–438.</w:t>
      </w:r>
      <w:r>
        <w:t xml:space="preserve"> </w:t>
      </w:r>
      <w:hyperlink r:id="rId90">
        <w:r>
          <w:rPr>
            <w:rStyle w:val="Hyperlink"/>
          </w:rPr>
          <w:t xml:space="preserve">https://doi.org/10.1177/2515245920917931</w:t>
        </w:r>
      </w:hyperlink>
    </w:p>
    <w:bookmarkEnd w:id="91"/>
    <w:bookmarkStart w:id="93" w:name="ref-castelnovo2018"/>
    <w:p>
      <w:pPr>
        <w:pStyle w:val="Literaturverzeichnis"/>
      </w:pPr>
      <w:r>
        <w:t xml:space="preserve">Castelnovo, P., Florio, M., Forte, S., Rossi, L., &amp; Sirtori, E. (2018). The economic impact of technological procurement for large-scale research infrastructures: Evidence from the Large Hadron Collider at CERN.</w:t>
      </w:r>
      <w:r>
        <w:t xml:space="preserve"> </w:t>
      </w:r>
      <w:r>
        <w:rPr>
          <w:iCs/>
          <w:i/>
        </w:rPr>
        <w:t xml:space="preserve">Research Policy</w:t>
      </w:r>
      <w:r>
        <w:t xml:space="preserve">,</w:t>
      </w:r>
      <w:r>
        <w:t xml:space="preserve"> </w:t>
      </w:r>
      <w:r>
        <w:rPr>
          <w:iCs/>
          <w:i/>
        </w:rPr>
        <w:t xml:space="preserve">47</w:t>
      </w:r>
      <w:r>
        <w:t xml:space="preserve">(9), 1853–1867.</w:t>
      </w:r>
      <w:r>
        <w:t xml:space="preserve"> </w:t>
      </w:r>
      <w:hyperlink r:id="rId92">
        <w:r>
          <w:rPr>
            <w:rStyle w:val="Hyperlink"/>
          </w:rPr>
          <w:t xml:space="preserve">https://doi.org/10.1016/j.respol.2018.06.018</w:t>
        </w:r>
      </w:hyperlink>
    </w:p>
    <w:bookmarkEnd w:id="93"/>
    <w:bookmarkStart w:id="95" w:name="ref-coles2022"/>
    <w:p>
      <w:pPr>
        <w:pStyle w:val="Literaturverzeichnis"/>
      </w:pPr>
      <w:r>
        <w:t xml:space="preserve">Coles, N. A., Hamlin, J. K., Sullivan, L. L., Parker, T. H., &amp; Altschul, D. (2022). Build up big-team science.</w:t>
      </w:r>
      <w:r>
        <w:t xml:space="preserve"> </w:t>
      </w:r>
      <w:r>
        <w:rPr>
          <w:iCs/>
          <w:i/>
        </w:rPr>
        <w:t xml:space="preserve">Nature</w:t>
      </w:r>
      <w:r>
        <w:t xml:space="preserve">,</w:t>
      </w:r>
      <w:r>
        <w:t xml:space="preserve"> </w:t>
      </w:r>
      <w:r>
        <w:rPr>
          <w:iCs/>
          <w:i/>
        </w:rPr>
        <w:t xml:space="preserve">601</w:t>
      </w:r>
      <w:r>
        <w:t xml:space="preserve">(7894), 505–507.</w:t>
      </w:r>
      <w:r>
        <w:t xml:space="preserve"> </w:t>
      </w:r>
      <w:hyperlink r:id="rId94">
        <w:r>
          <w:rPr>
            <w:rStyle w:val="Hyperlink"/>
          </w:rPr>
          <w:t xml:space="preserve">https://doi.org/10.1038/d41586-022-00150-2</w:t>
        </w:r>
      </w:hyperlink>
    </w:p>
    <w:bookmarkEnd w:id="95"/>
    <w:bookmarkStart w:id="97" w:name="ref-collins2003"/>
    <w:p>
      <w:pPr>
        <w:pStyle w:val="Literaturverzeichnis"/>
      </w:pPr>
      <w:r>
        <w:t xml:space="preserve">Collins, F. S., Morgan, M., &amp; Patrinos, A. (2003). The human genome project: Lessons from large-scale biology.</w:t>
      </w:r>
      <w:r>
        <w:t xml:space="preserve"> </w:t>
      </w:r>
      <w:r>
        <w:rPr>
          <w:iCs/>
          <w:i/>
        </w:rPr>
        <w:t xml:space="preserve">Science</w:t>
      </w:r>
      <w:r>
        <w:t xml:space="preserve">,</w:t>
      </w:r>
      <w:r>
        <w:t xml:space="preserve"> </w:t>
      </w:r>
      <w:r>
        <w:rPr>
          <w:iCs/>
          <w:i/>
        </w:rPr>
        <w:t xml:space="preserve">300</w:t>
      </w:r>
      <w:r>
        <w:t xml:space="preserve">(5617), 286–290.</w:t>
      </w:r>
      <w:r>
        <w:t xml:space="preserve"> </w:t>
      </w:r>
      <w:hyperlink r:id="rId96">
        <w:r>
          <w:rPr>
            <w:rStyle w:val="Hyperlink"/>
          </w:rPr>
          <w:t xml:space="preserve">https://doi.org/10.1126/science.1084564</w:t>
        </w:r>
      </w:hyperlink>
    </w:p>
    <w:bookmarkEnd w:id="97"/>
    <w:bookmarkStart w:id="99" w:name="ref-dorison2022"/>
    <w:p>
      <w:pPr>
        <w:pStyle w:val="Literaturverzeichnis"/>
      </w:pPr>
      <w:r>
        <w:t xml:space="preserve">Dorison, C., Lerner, J., Heller, B., Rothman, A., Kawachi, I., Wang, K., Rees, V., Gill, B., Gibbs, N., Ebersole, C., Vally, Z., Tajchman, Z., Zsido, A., Zrimsek, M., Chen, Z., Ziano, I., Gialitaki, Z., Ceary, C., Jang, Y., … Coles, N. (2022). A global test of message framing on behavioural intentions, policy support, information seeking, and experienced anxiety during the COVID-19 pandemic.</w:t>
      </w:r>
      <w:r>
        <w:t xml:space="preserve"> </w:t>
      </w:r>
      <w:r>
        <w:rPr>
          <w:iCs/>
          <w:i/>
        </w:rPr>
        <w:t xml:space="preserve">Affective Science</w:t>
      </w:r>
      <w:r>
        <w:t xml:space="preserve">.</w:t>
      </w:r>
      <w:r>
        <w:t xml:space="preserve"> </w:t>
      </w:r>
      <w:hyperlink r:id="rId98">
        <w:r>
          <w:rPr>
            <w:rStyle w:val="Hyperlink"/>
          </w:rPr>
          <w:t xml:space="preserve">https://doi.org/10.31234/osf.io/sevkf</w:t>
        </w:r>
      </w:hyperlink>
    </w:p>
    <w:bookmarkEnd w:id="99"/>
    <w:bookmarkStart w:id="101" w:name="ref-ebersole2016"/>
    <w:p>
      <w:pPr>
        <w:pStyle w:val="Literaturverzeichnis"/>
      </w:pPr>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100">
        <w:r>
          <w:rPr>
            <w:rStyle w:val="Hyperlink"/>
          </w:rPr>
          <w:t xml:space="preserve">https://doi.org/10.1016/j.jesp.2015.10.012</w:t>
        </w:r>
      </w:hyperlink>
    </w:p>
    <w:bookmarkEnd w:id="101"/>
    <w:bookmarkStart w:id="103" w:name="ref-ebersole2020"/>
    <w:p>
      <w:pPr>
        <w:pStyle w:val="Literaturverzeichnis"/>
      </w:pPr>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102">
        <w:r>
          <w:rPr>
            <w:rStyle w:val="Hyperlink"/>
          </w:rPr>
          <w:t xml:space="preserve">https://doi.org/10.1177/2515245920958687</w:t>
        </w:r>
      </w:hyperlink>
    </w:p>
    <w:bookmarkEnd w:id="103"/>
    <w:bookmarkStart w:id="105" w:name="ref-10.7554/eLife.71601"/>
    <w:p>
      <w:pPr>
        <w:pStyle w:val="Literaturverzeichnis"/>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104">
        <w:r>
          <w:rPr>
            <w:rStyle w:val="Hyperlink"/>
          </w:rPr>
          <w:t xml:space="preserve">https://doi.org/10.7554/eLife.71601</w:t>
        </w:r>
      </w:hyperlink>
    </w:p>
    <w:bookmarkEnd w:id="105"/>
    <w:bookmarkStart w:id="107" w:name="ref-forscher2020"/>
    <w:p>
      <w:pPr>
        <w:pStyle w:val="Literaturverzeichnis"/>
      </w:pPr>
      <w:r>
        <w:t xml:space="preserve">Forscher, P. S., Wagenmakers, E.-J., Coles, N. A., Silan, M. A. A., Dutra, N. B., Basnight-Brown, D., &amp; IJzerman, H. (2020).</w:t>
      </w:r>
      <w:r>
        <w:t xml:space="preserve"> </w:t>
      </w:r>
      <w:r>
        <w:rPr>
          <w:iCs/>
          <w:i/>
        </w:rPr>
        <w:t xml:space="preserve">The benefits, barriers, and risks of big team science</w:t>
      </w:r>
      <w:r>
        <w:t xml:space="preserve">.</w:t>
      </w:r>
      <w:r>
        <w:t xml:space="preserve"> </w:t>
      </w:r>
      <w:hyperlink r:id="rId106">
        <w:r>
          <w:rPr>
            <w:rStyle w:val="Hyperlink"/>
          </w:rPr>
          <w:t xml:space="preserve">https://doi.org/10.31234/osf.io/2mdxh</w:t>
        </w:r>
      </w:hyperlink>
    </w:p>
    <w:bookmarkEnd w:id="107"/>
    <w:bookmarkStart w:id="109" w:name="ref-franco2014"/>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r>
        <w:t xml:space="preserve"> </w:t>
      </w:r>
      <w:hyperlink r:id="rId108">
        <w:r>
          <w:rPr>
            <w:rStyle w:val="Hyperlink"/>
          </w:rPr>
          <w:t xml:space="preserve">https://doi.org/10.1126/science.1255484</w:t>
        </w:r>
      </w:hyperlink>
    </w:p>
    <w:bookmarkEnd w:id="109"/>
    <w:bookmarkStart w:id="111" w:name="ref-grahe2014"/>
    <w:p>
      <w:pPr>
        <w:pStyle w:val="Literaturverzeichnis"/>
      </w:pPr>
      <w:r>
        <w:t xml:space="preserve">Grahe, J. E. (2014). Announcing open science badges and reaching for the sky.</w:t>
      </w:r>
      <w:r>
        <w:t xml:space="preserve"> </w:t>
      </w:r>
      <w:r>
        <w:rPr>
          <w:iCs/>
          <w:i/>
        </w:rPr>
        <w:t xml:space="preserve">The Journal of Social Psychology</w:t>
      </w:r>
      <w:r>
        <w:t xml:space="preserve">,</w:t>
      </w:r>
      <w:r>
        <w:t xml:space="preserve"> </w:t>
      </w:r>
      <w:r>
        <w:rPr>
          <w:iCs/>
          <w:i/>
        </w:rPr>
        <w:t xml:space="preserve">154</w:t>
      </w:r>
      <w:r>
        <w:t xml:space="preserve">(1), 1–3.</w:t>
      </w:r>
      <w:r>
        <w:t xml:space="preserve"> </w:t>
      </w:r>
      <w:hyperlink r:id="rId110">
        <w:r>
          <w:rPr>
            <w:rStyle w:val="Hyperlink"/>
          </w:rPr>
          <w:t xml:space="preserve">https://doi.org/10.1080/00224545.2014.853582</w:t>
        </w:r>
      </w:hyperlink>
    </w:p>
    <w:bookmarkEnd w:id="111"/>
    <w:bookmarkStart w:id="113"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r>
        <w:t xml:space="preserve"> </w:t>
      </w:r>
      <w:hyperlink r:id="rId112">
        <w:r>
          <w:rPr>
            <w:rStyle w:val="Hyperlink"/>
          </w:rPr>
          <w:t xml:space="preserve">https://doi.org/10.1017/S0140525X0999152X</w:t>
        </w:r>
      </w:hyperlink>
    </w:p>
    <w:bookmarkEnd w:id="113"/>
    <w:bookmarkStart w:id="115" w:name="ref-hubbard1997"/>
    <w:p>
      <w:pPr>
        <w:pStyle w:val="Literaturverzeichnis"/>
      </w:pPr>
      <w:r>
        <w:t xml:space="preserve">Hubbard, R., &amp; Armstrong, J. S. (1997). Publication Bias against Null Results.</w:t>
      </w:r>
      <w:r>
        <w:t xml:space="preserve"> </w:t>
      </w:r>
      <w:r>
        <w:rPr>
          <w:iCs/>
          <w:i/>
        </w:rPr>
        <w:t xml:space="preserve">Psychological Reports</w:t>
      </w:r>
      <w:r>
        <w:t xml:space="preserve">,</w:t>
      </w:r>
      <w:r>
        <w:t xml:space="preserve"> </w:t>
      </w:r>
      <w:r>
        <w:rPr>
          <w:iCs/>
          <w:i/>
        </w:rPr>
        <w:t xml:space="preserve">80</w:t>
      </w:r>
      <w:r>
        <w:t xml:space="preserve">(1), 337–338.</w:t>
      </w:r>
      <w:r>
        <w:t xml:space="preserve"> </w:t>
      </w:r>
      <w:hyperlink r:id="rId114">
        <w:r>
          <w:rPr>
            <w:rStyle w:val="Hyperlink"/>
          </w:rPr>
          <w:t xml:space="preserve">https://doi.org/10.2466/pr0.1997.80.1.337</w:t>
        </w:r>
      </w:hyperlink>
    </w:p>
    <w:bookmarkEnd w:id="115"/>
    <w:bookmarkStart w:id="117" w:name="ref-ioannidis2015"/>
    <w:p>
      <w:pPr>
        <w:pStyle w:val="Literaturverzeichnis"/>
      </w:pPr>
      <w:r>
        <w:t xml:space="preserve">Ioannidis, J. P. A. (2015). Failure to replicate: Sound the alarm.</w:t>
      </w:r>
      <w:r>
        <w:t xml:space="preserve"> </w:t>
      </w:r>
      <w:r>
        <w:rPr>
          <w:iCs/>
          <w:i/>
        </w:rPr>
        <w:t xml:space="preserve">Cerebrum: The Dana Forum on Brain Science</w:t>
      </w:r>
      <w:r>
        <w:t xml:space="preserve">,</w:t>
      </w:r>
      <w:r>
        <w:t xml:space="preserve"> </w:t>
      </w:r>
      <w:r>
        <w:rPr>
          <w:iCs/>
          <w:i/>
        </w:rPr>
        <w:t xml:space="preserve">2015</w:t>
      </w:r>
      <w:r>
        <w:t xml:space="preserve">.</w:t>
      </w:r>
      <w:r>
        <w:t xml:space="preserve"> </w:t>
      </w:r>
      <w:hyperlink r:id="rId116">
        <w:r>
          <w:rPr>
            <w:rStyle w:val="Hyperlink"/>
          </w:rPr>
          <w:t xml:space="preserve">https://www.ncbi.nlm.nih.gov/pmc/articles/PMC4938249/</w:t>
        </w:r>
      </w:hyperlink>
    </w:p>
    <w:bookmarkEnd w:id="117"/>
    <w:bookmarkStart w:id="119" w:name="ref-isager2021"/>
    <w:p>
      <w:pPr>
        <w:pStyle w:val="Literaturverzeichnis"/>
      </w:pPr>
      <w:r>
        <w:t xml:space="preserve">Isager, P. M., Aert, R. C. M. van, Bahník, Š., Brandt, M. J., DeSoto, K. A., Giner-Sorolla, R., Krueger, J. I., Perugini, M., Ropovik, I., van ’t Veer, A. E., Vranka, M., &amp; Lakens, D. (2021a).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118">
        <w:r>
          <w:rPr>
            <w:rStyle w:val="Hyperlink"/>
          </w:rPr>
          <w:t xml:space="preserve">https://doi.org/10.1037/met0000438</w:t>
        </w:r>
      </w:hyperlink>
    </w:p>
    <w:bookmarkEnd w:id="119"/>
    <w:bookmarkStart w:id="120" w:name="ref-isager2021a"/>
    <w:p>
      <w:pPr>
        <w:pStyle w:val="Literaturverzeichnis"/>
      </w:pPr>
      <w:r>
        <w:t xml:space="preserve">Isager, P. M., Aert, R. C. M. van, Bahník, Š., Brandt, M. J., DeSoto, K. A., Giner-Sorolla, R., Krueger, J. I., Perugini, M., Ropovik, I., van ’t Veer, A. E., Vranka, M., &amp; Lakens, D. (2021b).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118">
        <w:r>
          <w:rPr>
            <w:rStyle w:val="Hyperlink"/>
          </w:rPr>
          <w:t xml:space="preserve">https://doi.org/10.1037/met0000438</w:t>
        </w:r>
      </w:hyperlink>
    </w:p>
    <w:bookmarkEnd w:id="120"/>
    <w:bookmarkStart w:id="122" w:name="ref-john2012"/>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121">
        <w:r>
          <w:rPr>
            <w:rStyle w:val="Hyperlink"/>
          </w:rPr>
          <w:t xml:space="preserve">https://doi.org/10.1177/0956797611430953</w:t>
        </w:r>
      </w:hyperlink>
    </w:p>
    <w:bookmarkEnd w:id="122"/>
    <w:bookmarkStart w:id="124" w:name="ref-jones2021"/>
    <w:p>
      <w:pPr>
        <w:pStyle w:val="Literaturverzeichnis"/>
      </w:pPr>
      <w:r>
        <w:t xml:space="preserve">Jones, B. C., DeBruine, L. M., Flake, J. K., Liuzza, M. T., Antfolk, J., Arinze, N. C., Ndukaihe, I. L. G., Bloxsom, N. G., Lewis, S. C., Foroni, F., Willis, M. L., Cubillas, C. P., Vadillo, M. A., Turiegano, E., Gilead, M., Simchon, A., Saribay, S. A., Owsley, N. C., Jang, C., … Coles, N. A. (2021). To which world regions does the valence</w:t>
      </w:r>
      <w:r>
        <w:t xml:space="preserve">dominance model of social perception apply?</w:t>
      </w:r>
      <w:r>
        <w:t xml:space="preserve"> </w:t>
      </w:r>
      <w:r>
        <w:rPr>
          <w:iCs/>
          <w:i/>
        </w:rPr>
        <w:t xml:space="preserve">Nature Human Behaviour</w:t>
      </w:r>
      <w:r>
        <w:t xml:space="preserve">,</w:t>
      </w:r>
      <w:r>
        <w:t xml:space="preserve"> </w:t>
      </w:r>
      <w:r>
        <w:rPr>
          <w:iCs/>
          <w:i/>
        </w:rPr>
        <w:t xml:space="preserve">5</w:t>
      </w:r>
      <w:r>
        <w:t xml:space="preserve">(1), 159–169.</w:t>
      </w:r>
      <w:r>
        <w:t xml:space="preserve"> </w:t>
      </w:r>
      <w:hyperlink r:id="rId123">
        <w:r>
          <w:rPr>
            <w:rStyle w:val="Hyperlink"/>
          </w:rPr>
          <w:t xml:space="preserve">https://doi.org/10.1038/s41562-020-01007-2</w:t>
        </w:r>
      </w:hyperlink>
    </w:p>
    <w:bookmarkEnd w:id="124"/>
    <w:bookmarkStart w:id="126" w:name="ref-kidwell2016"/>
    <w:p>
      <w:pPr>
        <w:pStyle w:val="Literaturverzeichnis"/>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125">
        <w:r>
          <w:rPr>
            <w:rStyle w:val="Hyperlink"/>
          </w:rPr>
          <w:t xml:space="preserve">https://doi.org/10.1371/journal.pbio.1002456</w:t>
        </w:r>
      </w:hyperlink>
    </w:p>
    <w:bookmarkEnd w:id="126"/>
    <w:bookmarkStart w:id="128" w:name="ref-klein2022"/>
    <w:p>
      <w:pPr>
        <w:pStyle w:val="Literaturverzeichnis"/>
      </w:pPr>
      <w:r>
        <w:t xml:space="preserve">Klein, R. A., Cook, C. L., Ebersole, C. R., Vitiello, C., Nosek, B. A., Hilgard, J., Ahn, P. H., Brady, A. J., Chartier, C. R., Christopherson, C. D., Clay, S., Collisson, B., Crawford, J. T., Cromar, R., Gardiner, G., Gosnell, C. L., Grahe, J., Hall, C., Howard, I.,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127">
        <w:r>
          <w:rPr>
            <w:rStyle w:val="Hyperlink"/>
          </w:rPr>
          <w:t xml:space="preserve">https://doi.org/10.1525/collabra.35271</w:t>
        </w:r>
      </w:hyperlink>
    </w:p>
    <w:bookmarkEnd w:id="128"/>
    <w:bookmarkStart w:id="130" w:name="ref-klein2018"/>
    <w:p>
      <w:pPr>
        <w:pStyle w:val="Literaturverzeichnis"/>
      </w:pPr>
      <w: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129">
        <w:r>
          <w:rPr>
            <w:rStyle w:val="Hyperlink"/>
          </w:rPr>
          <w:t xml:space="preserve">https://doi.org/10.1177/2515245918810225</w:t>
        </w:r>
      </w:hyperlink>
    </w:p>
    <w:bookmarkEnd w:id="130"/>
    <w:bookmarkStart w:id="132" w:name="ref-lebel2018"/>
    <w:p>
      <w:pPr>
        <w:pStyle w:val="Literaturverzeichnis"/>
      </w:pPr>
      <w:r>
        <w:t xml:space="preserve">LeBel, E. P., McCarthy, R. J., Earp, B. D., Elson, M., &amp; Vanpaemel, W. (2018). A Unified Framework to Quantify the Credibility of Scientific Findings.</w:t>
      </w:r>
      <w:r>
        <w:t xml:space="preserve"> </w:t>
      </w:r>
      <w:r>
        <w:rPr>
          <w:iCs/>
          <w:i/>
        </w:rPr>
        <w:t xml:space="preserve">Advances in Methods and Practices in Psychological Science</w:t>
      </w:r>
      <w:r>
        <w:t xml:space="preserve">,</w:t>
      </w:r>
      <w:r>
        <w:t xml:space="preserve"> </w:t>
      </w:r>
      <w:r>
        <w:rPr>
          <w:iCs/>
          <w:i/>
        </w:rPr>
        <w:t xml:space="preserve">1</w:t>
      </w:r>
      <w:r>
        <w:t xml:space="preserve">(3), 389–402.</w:t>
      </w:r>
      <w:r>
        <w:t xml:space="preserve"> </w:t>
      </w:r>
      <w:hyperlink r:id="rId131">
        <w:r>
          <w:rPr>
            <w:rStyle w:val="Hyperlink"/>
          </w:rPr>
          <w:t xml:space="preserve">https://doi.org/10.1177/2515245918787489</w:t>
        </w:r>
      </w:hyperlink>
    </w:p>
    <w:bookmarkEnd w:id="132"/>
    <w:bookmarkStart w:id="134" w:name="ref-legate2022"/>
    <w:p>
      <w:pPr>
        <w:pStyle w:val="Literaturverzeichnis"/>
      </w:pPr>
      <w:r>
        <w:t xml:space="preserve">Legate, N., Nguyen, T., Weinstein, N., Moller, A., Legault, L., Maniaci, M. R., Ebersole, C. R., Adamkovic, M., Adetula, D. G. A., Agesin, B. B., Ahlgren, L., Akkas, H., Almeida, I., Anjum, G., Antoniadi, M., Arinze, A. I., Arvanitis, A., Rana, K., Badalyan, V., … Primbs, M. (2022). A global experiment on motivating social distancing during the COVID-19 pandemic.</w:t>
      </w:r>
      <w:r>
        <w:t xml:space="preserve"> </w:t>
      </w:r>
      <w:r>
        <w:rPr>
          <w:iCs/>
          <w:i/>
        </w:rPr>
        <w:t xml:space="preserve">Proceedings of the National Academy of Sciences</w:t>
      </w:r>
      <w:r>
        <w:t xml:space="preserve">.</w:t>
      </w:r>
      <w:r>
        <w:t xml:space="preserve"> </w:t>
      </w:r>
      <w:hyperlink r:id="rId133">
        <w:r>
          <w:rPr>
            <w:rStyle w:val="Hyperlink"/>
          </w:rPr>
          <w:t xml:space="preserve">https://doi.org/10.31234/osf.io/n3dyf</w:t>
        </w:r>
      </w:hyperlink>
    </w:p>
    <w:bookmarkEnd w:id="134"/>
    <w:bookmarkStart w:id="136" w:name="ref-maizey2019"/>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r>
        <w:t xml:space="preserve"> </w:t>
      </w:r>
      <w:hyperlink r:id="rId135">
        <w:r>
          <w:rPr>
            <w:rStyle w:val="Hyperlink"/>
          </w:rPr>
          <w:t xml:space="preserve">https://doi.org/10.1016/j.cortex.2018.12.015</w:t>
        </w:r>
      </w:hyperlink>
    </w:p>
    <w:bookmarkEnd w:id="136"/>
    <w:bookmarkStart w:id="138" w:name="ref-mathur2020"/>
    <w:p>
      <w:pPr>
        <w:pStyle w:val="Literaturverzeichnis"/>
      </w:pPr>
      <w:r>
        <w:t xml:space="preserve">Mathur, M. B., Bart-Plange, D.-J., Aczel, B., Bernstein, M. H., Ciunci, A. M., Ebersole, C. R., Falcão, F., Ashbaugh, K., Hilliard, R. A., Jern, A., Kellier, D. J., Kessinger, G., Kolb, V. S., Kovacs, M., Lage, C. A., Langford, E. V., Lins, S., Manfredi, D., Meyet, V., … Frank, M. C. (2020). Many Labs 5: Registered Multisite Replication of the Tempting-Fate Effects in Risen and Gilovich (2008).</w:t>
      </w:r>
      <w:r>
        <w:t xml:space="preserve"> </w:t>
      </w:r>
      <w:r>
        <w:rPr>
          <w:iCs/>
          <w:i/>
        </w:rPr>
        <w:t xml:space="preserve">Advances in Methods and Practices in Psychological Science</w:t>
      </w:r>
      <w:r>
        <w:t xml:space="preserve">,</w:t>
      </w:r>
      <w:r>
        <w:t xml:space="preserve"> </w:t>
      </w:r>
      <w:r>
        <w:rPr>
          <w:iCs/>
          <w:i/>
        </w:rPr>
        <w:t xml:space="preserve">3</w:t>
      </w:r>
      <w:r>
        <w:t xml:space="preserve">(3), 394–404.</w:t>
      </w:r>
      <w:r>
        <w:t xml:space="preserve"> </w:t>
      </w:r>
      <w:hyperlink r:id="rId137">
        <w:r>
          <w:rPr>
            <w:rStyle w:val="Hyperlink"/>
          </w:rPr>
          <w:t xml:space="preserve">https://doi.org/10.1177/2515245918785165</w:t>
        </w:r>
      </w:hyperlink>
    </w:p>
    <w:bookmarkEnd w:id="138"/>
    <w:bookmarkStart w:id="140" w:name="ref-maxwell2015"/>
    <w:p>
      <w:pPr>
        <w:pStyle w:val="Literaturverzeichnis"/>
      </w:pPr>
      <w:r>
        <w:t xml:space="preserve">Maxwell, S. E., Lau, M. Y., &amp; Howard, G. S. (2015). Is psychology suffering from a replication crisis?: What does ’failure to replicate’ really mean?</w:t>
      </w:r>
      <w:r>
        <w:t xml:space="preserve"> </w:t>
      </w:r>
      <w:r>
        <w:rPr>
          <w:iCs/>
          <w:i/>
        </w:rPr>
        <w:t xml:space="preserve">American Psychologist</w:t>
      </w:r>
      <w:r>
        <w:t xml:space="preserve">,</w:t>
      </w:r>
      <w:r>
        <w:t xml:space="preserve"> </w:t>
      </w:r>
      <w:r>
        <w:rPr>
          <w:iCs/>
          <w:i/>
        </w:rPr>
        <w:t xml:space="preserve">70</w:t>
      </w:r>
      <w:r>
        <w:t xml:space="preserve">(6), 487–498.</w:t>
      </w:r>
      <w:r>
        <w:t xml:space="preserve"> </w:t>
      </w:r>
      <w:hyperlink r:id="rId139">
        <w:r>
          <w:rPr>
            <w:rStyle w:val="Hyperlink"/>
          </w:rPr>
          <w:t xml:space="preserve">https://doi.org/10.1037/a0039400</w:t>
        </w:r>
      </w:hyperlink>
    </w:p>
    <w:bookmarkEnd w:id="140"/>
    <w:bookmarkStart w:id="142" w:name="ref-mayo-wilson2021"/>
    <w:p>
      <w:pPr>
        <w:pStyle w:val="Literaturverzeichnis"/>
      </w:pPr>
      <w:r>
        <w:t xml:space="preserve">Mayo-Wilson, E., Grant, S., Supplee, L., Kianersi, S., Amin, A., DeHaven, A., &amp; Mellor, D. (2021). Evaluating implementation of the transparency and openness promotion (TOP) guidelines: The TRUST process for rating journal policies, procedures, and practices.</w:t>
      </w:r>
      <w:r>
        <w:t xml:space="preserve"> </w:t>
      </w:r>
      <w:r>
        <w:rPr>
          <w:iCs/>
          <w:i/>
        </w:rPr>
        <w:t xml:space="preserve">Research Integrity and Peer Review</w:t>
      </w:r>
      <w:r>
        <w:t xml:space="preserve">,</w:t>
      </w:r>
      <w:r>
        <w:t xml:space="preserve"> </w:t>
      </w:r>
      <w:r>
        <w:rPr>
          <w:iCs/>
          <w:i/>
        </w:rPr>
        <w:t xml:space="preserve">6</w:t>
      </w:r>
      <w:r>
        <w:t xml:space="preserve">(1), 9.</w:t>
      </w:r>
      <w:r>
        <w:t xml:space="preserve"> </w:t>
      </w:r>
      <w:hyperlink r:id="rId141">
        <w:r>
          <w:rPr>
            <w:rStyle w:val="Hyperlink"/>
          </w:rPr>
          <w:t xml:space="preserve">https://doi.org/10.1186/s41073-021-00112-8</w:t>
        </w:r>
      </w:hyperlink>
    </w:p>
    <w:bookmarkEnd w:id="142"/>
    <w:bookmarkStart w:id="144" w:name="ref-moshontz2018"/>
    <w:p>
      <w:pPr>
        <w:pStyle w:val="Literaturverzeichnis"/>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143">
        <w:r>
          <w:rPr>
            <w:rStyle w:val="Hyperlink"/>
          </w:rPr>
          <w:t xml:space="preserve">https://doi.org/10.1177/2515245918797607</w:t>
        </w:r>
      </w:hyperlink>
    </w:p>
    <w:bookmarkEnd w:id="144"/>
    <w:bookmarkStart w:id="146" w:name="ref-nelson2018"/>
    <w:p>
      <w:pPr>
        <w:pStyle w:val="Literaturverzeichnis"/>
      </w:pPr>
      <w:r>
        <w:t xml:space="preserve">Nelson, L. D., Simmons, J., &amp; Simonsohn, U. (2018). Psychology’s renaissance.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145">
        <w:r>
          <w:rPr>
            <w:rStyle w:val="Hyperlink"/>
          </w:rPr>
          <w:t xml:space="preserve">https://doi.org/10.1146/annurev-psych-122216-011836</w:t>
        </w:r>
      </w:hyperlink>
    </w:p>
    <w:bookmarkEnd w:id="146"/>
    <w:bookmarkStart w:id="148" w:name="ref-newson2021"/>
    <w:p>
      <w:pPr>
        <w:pStyle w:val="Literaturverzeichnis"/>
      </w:pPr>
      <w:r>
        <w:t xml:space="preserve">Newson, M., Buhrmester, M., Xygalatas, D., &amp; Whitehouse, H. (2021). Go WILD, not WEIRD.</w:t>
      </w:r>
      <w:r>
        <w:t xml:space="preserve"> </w:t>
      </w:r>
      <w:r>
        <w:rPr>
          <w:iCs/>
          <w:i/>
        </w:rPr>
        <w:t xml:space="preserve">Journal for the Cognitive Science of Religion</w:t>
      </w:r>
      <w:r>
        <w:t xml:space="preserve">,</w:t>
      </w:r>
      <w:r>
        <w:t xml:space="preserve"> </w:t>
      </w:r>
      <w:r>
        <w:rPr>
          <w:iCs/>
          <w:i/>
        </w:rPr>
        <w:t xml:space="preserve">6</w:t>
      </w:r>
      <w:r>
        <w:t xml:space="preserve">(1-2).</w:t>
      </w:r>
      <w:r>
        <w:t xml:space="preserve"> </w:t>
      </w:r>
      <w:hyperlink r:id="rId147">
        <w:r>
          <w:rPr>
            <w:rStyle w:val="Hyperlink"/>
          </w:rPr>
          <w:t xml:space="preserve">https://doi.org/10.1558/jcsr.38413</w:t>
        </w:r>
      </w:hyperlink>
    </w:p>
    <w:bookmarkEnd w:id="148"/>
    <w:bookmarkStart w:id="150" w:name="ref-nosek2015"/>
    <w:p>
      <w:pPr>
        <w:pStyle w:val="Literaturverzeichnis"/>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149">
        <w:r>
          <w:rPr>
            <w:rStyle w:val="Hyperlink"/>
          </w:rPr>
          <w:t xml:space="preserve">https://doi.org/10.1126/science.aab2374</w:t>
        </w:r>
      </w:hyperlink>
    </w:p>
    <w:bookmarkEnd w:id="150"/>
    <w:bookmarkStart w:id="152" w:name="ref-nosek2014"/>
    <w:p>
      <w:pPr>
        <w:pStyle w:val="Literaturverzeichnis"/>
      </w:pPr>
      <w:r>
        <w:t xml:space="preserve">Nosek, B. A., &amp; Lakens, D. (2014a). Registered Reports: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r>
        <w:t xml:space="preserve"> </w:t>
      </w:r>
      <w:hyperlink r:id="rId151">
        <w:r>
          <w:rPr>
            <w:rStyle w:val="Hyperlink"/>
          </w:rPr>
          <w:t xml:space="preserve">https://doi.org/10.1027/1864-9335/a000192</w:t>
        </w:r>
      </w:hyperlink>
    </w:p>
    <w:bookmarkEnd w:id="152"/>
    <w:bookmarkStart w:id="153" w:name="ref-nosek2014method"/>
    <w:p>
      <w:pPr>
        <w:pStyle w:val="Literaturverzeichnis"/>
      </w:pPr>
      <w:r>
        <w:t xml:space="preserve">Nosek, B. A., &amp; Lakens, D. (2014b).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p>
    <w:bookmarkEnd w:id="153"/>
    <w:bookmarkStart w:id="155" w:name="ref-nosek2012"/>
    <w:p>
      <w:pPr>
        <w:pStyle w:val="Literaturverzeichnis"/>
      </w:pPr>
      <w:r>
        <w:t xml:space="preserve">Nosek, B. A., Spies, J. R., &amp; Motyl, M. (2012). Scientific Utopia: II. Restructuring Incentives and Practices to Promote Truth Over Publishability.</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154">
        <w:r>
          <w:rPr>
            <w:rStyle w:val="Hyperlink"/>
          </w:rPr>
          <w:t xml:space="preserve">https://doi.org/10.1177/1745691612459058</w:t>
        </w:r>
      </w:hyperlink>
    </w:p>
    <w:bookmarkEnd w:id="155"/>
    <w:bookmarkStart w:id="156" w:name="ref-oed2016"/>
    <w:p>
      <w:pPr>
        <w:pStyle w:val="Literaturverzeichnis"/>
      </w:pPr>
      <w:r>
        <w:t xml:space="preserve">OED. (2016).</w:t>
      </w:r>
      <w:r>
        <w:t xml:space="preserve"> </w:t>
      </w:r>
      <w:r>
        <w:rPr>
          <w:iCs/>
          <w:i/>
        </w:rPr>
        <w:t xml:space="preserve">Collaboration</w:t>
      </w:r>
      <w:r>
        <w:t xml:space="preserve"> </w:t>
      </w:r>
      <w:r>
        <w:t xml:space="preserve">(Vol. 3). Oxford University.</w:t>
      </w:r>
    </w:p>
    <w:bookmarkEnd w:id="156"/>
    <w:bookmarkStart w:id="158" w:name="ref-opensciencecollaboration2015"/>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aac4716–aac4716.</w:t>
      </w:r>
      <w:r>
        <w:t xml:space="preserve"> </w:t>
      </w:r>
      <w:hyperlink r:id="rId157">
        <w:r>
          <w:rPr>
            <w:rStyle w:val="Hyperlink"/>
          </w:rPr>
          <w:t xml:space="preserve">https://doi.org/10.1126/science.aac4716</w:t>
        </w:r>
      </w:hyperlink>
    </w:p>
    <w:bookmarkEnd w:id="158"/>
    <w:bookmarkStart w:id="160" w:name="ref-rad2018"/>
    <w:p>
      <w:pPr>
        <w:pStyle w:val="Literaturverzeichnis"/>
      </w:pPr>
      <w:r>
        <w:t xml:space="preserve">Rad, M. S., Martingano, A. J., &amp; Ginges, J. (2018). Toward a psychology of homo sapiens: Making psychological science more representative of the human population.</w:t>
      </w:r>
      <w:r>
        <w:t xml:space="preserve"> </w:t>
      </w:r>
      <w:r>
        <w:rPr>
          <w:iCs/>
          <w:i/>
        </w:rPr>
        <w:t xml:space="preserve">Proceedings of the National Academy of Sciences</w:t>
      </w:r>
      <w:r>
        <w:t xml:space="preserve">,</w:t>
      </w:r>
      <w:r>
        <w:t xml:space="preserve"> </w:t>
      </w:r>
      <w:r>
        <w:rPr>
          <w:iCs/>
          <w:i/>
        </w:rPr>
        <w:t xml:space="preserve">115</w:t>
      </w:r>
      <w:r>
        <w:t xml:space="preserve">(45), 11401–11405.</w:t>
      </w:r>
      <w:r>
        <w:t xml:space="preserve"> </w:t>
      </w:r>
      <w:hyperlink r:id="rId159">
        <w:r>
          <w:rPr>
            <w:rStyle w:val="Hyperlink"/>
          </w:rPr>
          <w:t xml:space="preserve">https://doi.org/10.1073/pnas.1721165115</w:t>
        </w:r>
      </w:hyperlink>
    </w:p>
    <w:bookmarkEnd w:id="160"/>
    <w:bookmarkStart w:id="161" w:name="ref-silberzahn2018many"/>
    <w:p>
      <w:pPr>
        <w:pStyle w:val="Literaturverzeichnis"/>
      </w:pPr>
      <w:r>
        <w:t xml:space="preserve">Silberzahn, R., Uhlmann, E. L., Martin, D. P., Anselmi, P., Aust, F., Awtrey, E., Bahník, Š., Bai, F., Bannard, C., Bonnier, E., &amp; others. (2018). Many analysts, one data set: Making transparent how variations in analytic choices affect results.</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p>
    <w:bookmarkEnd w:id="161"/>
    <w:bookmarkStart w:id="163" w:name="ref-skorb2020"/>
    <w:p>
      <w:pPr>
        <w:pStyle w:val="Literaturverzeichnis"/>
      </w:pPr>
      <w:r>
        <w:t xml:space="preserve">Skorb, L., Aczel, B., Bakos, B. E., Feinberg, L., Hałasa, E., Kauff, M., Kovacs, M., Krasuska, K., Kuchno, K., Manfredi, D., Montealegre, A., Pękala, E., Pieńkosz, D., Ravid, J., Rentzsch, K., Szaszi, B., Schulz-Hardt, S., Sioma, B., Szecsi, P., … Hartshorne, J. K. (2020). Many Labs 5: Replication of van Dijk, van Kleef, Steinel, and van Beest (2008).</w:t>
      </w:r>
      <w:r>
        <w:t xml:space="preserve"> </w:t>
      </w:r>
      <w:r>
        <w:rPr>
          <w:iCs/>
          <w:i/>
        </w:rPr>
        <w:t xml:space="preserve">Advances in Methods and Practices in Psychological Science</w:t>
      </w:r>
      <w:r>
        <w:t xml:space="preserve">,</w:t>
      </w:r>
      <w:r>
        <w:t xml:space="preserve"> </w:t>
      </w:r>
      <w:r>
        <w:rPr>
          <w:iCs/>
          <w:i/>
        </w:rPr>
        <w:t xml:space="preserve">3</w:t>
      </w:r>
      <w:r>
        <w:t xml:space="preserve">(3), 418–428.</w:t>
      </w:r>
      <w:r>
        <w:t xml:space="preserve"> </w:t>
      </w:r>
      <w:hyperlink r:id="rId162">
        <w:r>
          <w:rPr>
            <w:rStyle w:val="Hyperlink"/>
          </w:rPr>
          <w:t xml:space="preserve">https://doi.org/10.1177/2515245920927643</w:t>
        </w:r>
      </w:hyperlink>
    </w:p>
    <w:bookmarkEnd w:id="163"/>
    <w:bookmarkStart w:id="165" w:name="ref-stewart2017"/>
    <w:p>
      <w:pPr>
        <w:pStyle w:val="Literaturverzeichnis"/>
      </w:pPr>
      <w:r>
        <w:t xml:space="preserve">Stewart, N., Chandler, J., &amp; Paolacci, G. (2017). Crowdsourcing samples in cognitive science.</w:t>
      </w:r>
      <w:r>
        <w:t xml:space="preserve"> </w:t>
      </w:r>
      <w:r>
        <w:rPr>
          <w:iCs/>
          <w:i/>
        </w:rPr>
        <w:t xml:space="preserve">Trends in Cognitive Sciences</w:t>
      </w:r>
      <w:r>
        <w:t xml:space="preserve">,</w:t>
      </w:r>
      <w:r>
        <w:t xml:space="preserve"> </w:t>
      </w:r>
      <w:r>
        <w:rPr>
          <w:iCs/>
          <w:i/>
        </w:rPr>
        <w:t xml:space="preserve">21</w:t>
      </w:r>
      <w:r>
        <w:t xml:space="preserve">(10), 736–748.</w:t>
      </w:r>
      <w:r>
        <w:t xml:space="preserve"> </w:t>
      </w:r>
      <w:hyperlink r:id="rId164">
        <w:r>
          <w:rPr>
            <w:rStyle w:val="Hyperlink"/>
          </w:rPr>
          <w:t xml:space="preserve">https://doi.org/10.1016/j.tics.2017.06.007</w:t>
        </w:r>
      </w:hyperlink>
    </w:p>
    <w:bookmarkEnd w:id="165"/>
    <w:bookmarkStart w:id="167" w:name="ref-stewart2020"/>
    <w:p>
      <w:pPr>
        <w:pStyle w:val="Literaturverzeichnis"/>
      </w:pPr>
      <w:r>
        <w:t xml:space="preserve">Stewart, S., Rinke, E. M., McGarrigle, R., Lynott, D., Lunny, C., Lautarescu, A., Galizzi, M. M., Farran, E. K., &amp; Crook, Z. (2020).</w:t>
      </w:r>
      <w:r>
        <w:t xml:space="preserve"> </w:t>
      </w:r>
      <w:r>
        <w:rPr>
          <w:iCs/>
          <w:i/>
        </w:rPr>
        <w:t xml:space="preserve">Pre-registration and registered reports: A primer from UKRN</w:t>
      </w:r>
      <w:r>
        <w:t xml:space="preserve">.</w:t>
      </w:r>
      <w:r>
        <w:t xml:space="preserve"> </w:t>
      </w:r>
      <w:hyperlink r:id="rId166">
        <w:r>
          <w:rPr>
            <w:rStyle w:val="Hyperlink"/>
          </w:rPr>
          <w:t xml:space="preserve">https://doi.org/10.31219/osf.io/8v2n7</w:t>
        </w:r>
      </w:hyperlink>
    </w:p>
    <w:bookmarkEnd w:id="167"/>
    <w:bookmarkStart w:id="169" w:name="ref-vanbavel2022"/>
    <w:p>
      <w:pPr>
        <w:pStyle w:val="Literaturverzeichnis"/>
      </w:pPr>
      <w:r>
        <w:t xml:space="preserve">Van Bavel, J. J., Cichocka, A., Capraro, V., Sjåstad, H., Nezlek, J. B., Pavlović, T., Alfano, M., Gelfand, M. J., Azevedo, F., Birtel, M. D., Cislak, A., Lockwood, P. L., Ross, R. M., Abts, K., Agadullina, E., Aruta, J. J. B., Besharati, S. N., Bor, A., Choma, B. L., … Boggio, P. S. (2022). National identity predicts public health support during a global pandemic.</w:t>
      </w:r>
      <w:r>
        <w:t xml:space="preserve"> </w:t>
      </w:r>
      <w:r>
        <w:rPr>
          <w:iCs/>
          <w:i/>
        </w:rPr>
        <w:t xml:space="preserve">Nature Communications</w:t>
      </w:r>
      <w:r>
        <w:t xml:space="preserve">,</w:t>
      </w:r>
      <w:r>
        <w:t xml:space="preserve"> </w:t>
      </w:r>
      <w:r>
        <w:rPr>
          <w:iCs/>
          <w:i/>
        </w:rPr>
        <w:t xml:space="preserve">13</w:t>
      </w:r>
      <w:r>
        <w:t xml:space="preserve">(1), 517.</w:t>
      </w:r>
      <w:r>
        <w:t xml:space="preserve"> </w:t>
      </w:r>
      <w:hyperlink r:id="rId168">
        <w:r>
          <w:rPr>
            <w:rStyle w:val="Hyperlink"/>
          </w:rPr>
          <w:t xml:space="preserve">https://doi.org/10.1038/s41467-021-27668-9</w:t>
        </w:r>
      </w:hyperlink>
    </w:p>
    <w:bookmarkEnd w:id="169"/>
    <w:bookmarkStart w:id="171" w:name="ref-vazire2022"/>
    <w:p>
      <w:pPr>
        <w:pStyle w:val="Literaturverzeichnis"/>
      </w:pPr>
      <w:r>
        <w:t xml:space="preserve">Vazire, S., Schiavone, S. R., &amp; Bottesini, J. G. (2022). Credibility Beyond Replicability: Improving the Four Validities in Psychological Science.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170">
        <w:r>
          <w:rPr>
            <w:rStyle w:val="Hyperlink"/>
          </w:rPr>
          <w:t xml:space="preserve">https://doi.org/10.1177/09637214211067779</w:t>
        </w:r>
      </w:hyperlink>
    </w:p>
    <w:bookmarkEnd w:id="171"/>
    <w:bookmarkStart w:id="173" w:name="ref-wang2021"/>
    <w:p>
      <w:pPr>
        <w:pStyle w:val="Literaturverzeichnis"/>
      </w:pPr>
      <w:r>
        <w:t xml:space="preserve">Wang, K., Goldenberg, A., Dorison, C. A., Miller, J. K., Uusberg, A., Lerner, J. S., Gross, J. J., Agesin, B. B., Bernardo, M., Campos, O., Eudave, L., Grzech, K., Ozery, D. H., Jackson, E. A., Garcia, E. O. L., Drexler, S. M., Jurković, A. P., Rana, K., Wilson, J. P., … Moshontz, H. (2021). A multi-country test of brief reappraisal interventions on emotions during the COVID-19 pandemic.</w:t>
      </w:r>
      <w:r>
        <w:t xml:space="preserve"> </w:t>
      </w:r>
      <w:r>
        <w:rPr>
          <w:iCs/>
          <w:i/>
        </w:rPr>
        <w:t xml:space="preserve">Nature Human Behaviour</w:t>
      </w:r>
      <w:r>
        <w:t xml:space="preserve">,</w:t>
      </w:r>
      <w:r>
        <w:t xml:space="preserve"> </w:t>
      </w:r>
      <w:r>
        <w:rPr>
          <w:iCs/>
          <w:i/>
        </w:rPr>
        <w:t xml:space="preserve">5</w:t>
      </w:r>
      <w:r>
        <w:t xml:space="preserve">(8), 1089–1110.</w:t>
      </w:r>
      <w:r>
        <w:t xml:space="preserve"> </w:t>
      </w:r>
      <w:hyperlink r:id="rId172">
        <w:r>
          <w:rPr>
            <w:rStyle w:val="Hyperlink"/>
          </w:rPr>
          <w:t xml:space="preserve">https://doi.org/10.1038/s41562-021-01173-x</w:t>
        </w:r>
      </w:hyperlink>
    </w:p>
    <w:bookmarkEnd w:id="173"/>
    <w:bookmarkStart w:id="175" w:name="ref-zwaan2018"/>
    <w:p>
      <w:pPr>
        <w:pStyle w:val="Literaturverzeichnis"/>
      </w:pPr>
      <w:r>
        <w:t xml:space="preserve">Zwaan, R. A., Etz, A., Lucas, R. E., &amp; Donnellan, M. B. (2018). Making replication mainstream.</w:t>
      </w:r>
      <w:r>
        <w:t xml:space="preserve"> </w:t>
      </w:r>
      <w:r>
        <w:rPr>
          <w:iCs/>
          <w:i/>
        </w:rPr>
        <w:t xml:space="preserve">Behavioral and Brain Sciences</w:t>
      </w:r>
      <w:r>
        <w:t xml:space="preserve">,</w:t>
      </w:r>
      <w:r>
        <w:t xml:space="preserve"> </w:t>
      </w:r>
      <w:r>
        <w:rPr>
          <w:iCs/>
          <w:i/>
        </w:rPr>
        <w:t xml:space="preserve">41</w:t>
      </w:r>
      <w:r>
        <w:t xml:space="preserve">, e120.</w:t>
      </w:r>
      <w:r>
        <w:t xml:space="preserve"> </w:t>
      </w:r>
      <w:hyperlink r:id="rId174">
        <w:r>
          <w:rPr>
            <w:rStyle w:val="Hyperlink"/>
          </w:rPr>
          <w:t xml:space="preserve">https://doi.org/10.1017/S0140525X17001972</w:t>
        </w:r>
      </w:hyperlink>
    </w:p>
    <w:bookmarkEnd w:id="175"/>
    <w:bookmarkEnd w:id="176"/>
    <w:bookmarkEnd w:id="17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BIG TEAM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BIG TEAM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85" Target="https://doi.org/10.1002/leap.1210" TargetMode="External" /><Relationship Type="http://schemas.openxmlformats.org/officeDocument/2006/relationships/hyperlink" Id="rId135" Target="https://doi.org/10.1016/j.cortex.2018.12.015" TargetMode="External" /><Relationship Type="http://schemas.openxmlformats.org/officeDocument/2006/relationships/hyperlink" Id="rId100" Target="https://doi.org/10.1016/j.jesp.2015.10.012" TargetMode="External" /><Relationship Type="http://schemas.openxmlformats.org/officeDocument/2006/relationships/hyperlink" Id="rId92" Target="https://doi.org/10.1016/j.respol.2018.06.018" TargetMode="External" /><Relationship Type="http://schemas.openxmlformats.org/officeDocument/2006/relationships/hyperlink" Id="rId164" Target="https://doi.org/10.1016/j.tics.2017.06.007" TargetMode="External" /><Relationship Type="http://schemas.openxmlformats.org/officeDocument/2006/relationships/hyperlink" Id="rId112" Target="https://doi.org/10.1017/S0140525X0999152X" TargetMode="External" /><Relationship Type="http://schemas.openxmlformats.org/officeDocument/2006/relationships/hyperlink" Id="rId174" Target="https://doi.org/10.1017/S0140525X17001972" TargetMode="External" /><Relationship Type="http://schemas.openxmlformats.org/officeDocument/2006/relationships/hyperlink" Id="rId151" Target="https://doi.org/10.1027/1864-9335/a000192" TargetMode="External" /><Relationship Type="http://schemas.openxmlformats.org/officeDocument/2006/relationships/hyperlink" Id="rId139" Target="https://doi.org/10.1037/a0039400" TargetMode="External" /><Relationship Type="http://schemas.openxmlformats.org/officeDocument/2006/relationships/hyperlink" Id="rId118" Target="https://doi.org/10.1037/met0000438" TargetMode="External" /><Relationship Type="http://schemas.openxmlformats.org/officeDocument/2006/relationships/hyperlink" Id="rId94" Target="https://doi.org/10.1038/d41586-022-00150-2" TargetMode="External" /><Relationship Type="http://schemas.openxmlformats.org/officeDocument/2006/relationships/hyperlink" Id="rId168" Target="https://doi.org/10.1038/s41467-021-27668-9" TargetMode="External" /><Relationship Type="http://schemas.openxmlformats.org/officeDocument/2006/relationships/hyperlink" Id="rId123" Target="https://doi.org/10.1038/s41562-020-01007-2" TargetMode="External" /><Relationship Type="http://schemas.openxmlformats.org/officeDocument/2006/relationships/hyperlink" Id="rId172" Target="https://doi.org/10.1038/s41562-021-01173-x" TargetMode="External" /><Relationship Type="http://schemas.openxmlformats.org/officeDocument/2006/relationships/hyperlink" Id="rId88" Target="https://doi.org/10.1038/s41562-022-01319-5" TargetMode="External" /><Relationship Type="http://schemas.openxmlformats.org/officeDocument/2006/relationships/hyperlink" Id="rId83" Target="https://doi.org/10.1038/s41567-021-01278-0" TargetMode="External" /><Relationship Type="http://schemas.openxmlformats.org/officeDocument/2006/relationships/hyperlink" Id="rId159" Target="https://doi.org/10.1073/pnas.1721165115" TargetMode="External" /><Relationship Type="http://schemas.openxmlformats.org/officeDocument/2006/relationships/hyperlink" Id="rId110" Target="https://doi.org/10.1080/00224545.2014.853582" TargetMode="External" /><Relationship Type="http://schemas.openxmlformats.org/officeDocument/2006/relationships/hyperlink" Id="rId96" Target="https://doi.org/10.1126/science.1084564" TargetMode="External" /><Relationship Type="http://schemas.openxmlformats.org/officeDocument/2006/relationships/hyperlink" Id="rId108" Target="https://doi.org/10.1126/science.1255484" TargetMode="External" /><Relationship Type="http://schemas.openxmlformats.org/officeDocument/2006/relationships/hyperlink" Id="rId149" Target="https://doi.org/10.1126/science.aab2374" TargetMode="External" /><Relationship Type="http://schemas.openxmlformats.org/officeDocument/2006/relationships/hyperlink" Id="rId157" Target="https://doi.org/10.1126/science.aac4716" TargetMode="External" /><Relationship Type="http://schemas.openxmlformats.org/officeDocument/2006/relationships/hyperlink" Id="rId145" Target="https://doi.org/10.1146/annurev-psych-122216-011836" TargetMode="External" /><Relationship Type="http://schemas.openxmlformats.org/officeDocument/2006/relationships/hyperlink" Id="rId121" Target="https://doi.org/10.1177/0956797611430953" TargetMode="External" /><Relationship Type="http://schemas.openxmlformats.org/officeDocument/2006/relationships/hyperlink" Id="rId170" Target="https://doi.org/10.1177/09637214211067779" TargetMode="External" /><Relationship Type="http://schemas.openxmlformats.org/officeDocument/2006/relationships/hyperlink" Id="rId154" Target="https://doi.org/10.1177/1745691612459058" TargetMode="External" /><Relationship Type="http://schemas.openxmlformats.org/officeDocument/2006/relationships/hyperlink" Id="rId137" Target="https://doi.org/10.1177/2515245918785165" TargetMode="External" /><Relationship Type="http://schemas.openxmlformats.org/officeDocument/2006/relationships/hyperlink" Id="rId131" Target="https://doi.org/10.1177/2515245918787489" TargetMode="External" /><Relationship Type="http://schemas.openxmlformats.org/officeDocument/2006/relationships/hyperlink" Id="rId143" Target="https://doi.org/10.1177/2515245918797607" TargetMode="External" /><Relationship Type="http://schemas.openxmlformats.org/officeDocument/2006/relationships/hyperlink" Id="rId129" Target="https://doi.org/10.1177/2515245918810225" TargetMode="External" /><Relationship Type="http://schemas.openxmlformats.org/officeDocument/2006/relationships/hyperlink" Id="rId90" Target="https://doi.org/10.1177/2515245920917931" TargetMode="External" /><Relationship Type="http://schemas.openxmlformats.org/officeDocument/2006/relationships/hyperlink" Id="rId162" Target="https://doi.org/10.1177/2515245920927643" TargetMode="External" /><Relationship Type="http://schemas.openxmlformats.org/officeDocument/2006/relationships/hyperlink" Id="rId102" Target="https://doi.org/10.1177/2515245920958687" TargetMode="External" /><Relationship Type="http://schemas.openxmlformats.org/officeDocument/2006/relationships/hyperlink" Id="rId141" Target="https://doi.org/10.1186/s41073-021-00112-8" TargetMode="External" /><Relationship Type="http://schemas.openxmlformats.org/officeDocument/2006/relationships/hyperlink" Id="rId125" Target="https://doi.org/10.1371/journal.pbio.1002456" TargetMode="External" /><Relationship Type="http://schemas.openxmlformats.org/officeDocument/2006/relationships/hyperlink" Id="rId127" Target="https://doi.org/10.1525/collabra.35271" TargetMode="External" /><Relationship Type="http://schemas.openxmlformats.org/officeDocument/2006/relationships/hyperlink" Id="rId147" Target="https://doi.org/10.1558/jcsr.38413" TargetMode="External" /><Relationship Type="http://schemas.openxmlformats.org/officeDocument/2006/relationships/hyperlink" Id="rId114" Target="https://doi.org/10.2466/pr0.1997.80.1.337" TargetMode="External" /><Relationship Type="http://schemas.openxmlformats.org/officeDocument/2006/relationships/hyperlink" Id="rId166" Target="https://doi.org/10.31219/osf.io/8v2n7" TargetMode="External" /><Relationship Type="http://schemas.openxmlformats.org/officeDocument/2006/relationships/hyperlink" Id="rId106" Target="https://doi.org/10.31234/osf.io/2mdxh" TargetMode="External" /><Relationship Type="http://schemas.openxmlformats.org/officeDocument/2006/relationships/hyperlink" Id="rId133" Target="https://doi.org/10.31234/osf.io/n3dyf" TargetMode="External" /><Relationship Type="http://schemas.openxmlformats.org/officeDocument/2006/relationships/hyperlink" Id="rId98" Target="https://doi.org/10.31234/osf.io/sevkf" TargetMode="External" /><Relationship Type="http://schemas.openxmlformats.org/officeDocument/2006/relationships/hyperlink" Id="rId104"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116" Target="https://www.ncbi.nlm.nih.gov/pmc/articles/PMC4938249/"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2/leap.1210" TargetMode="External" /><Relationship Type="http://schemas.openxmlformats.org/officeDocument/2006/relationships/hyperlink" Id="rId135" Target="https://doi.org/10.1016/j.cortex.2018.12.015" TargetMode="External" /><Relationship Type="http://schemas.openxmlformats.org/officeDocument/2006/relationships/hyperlink" Id="rId100" Target="https://doi.org/10.1016/j.jesp.2015.10.012" TargetMode="External" /><Relationship Type="http://schemas.openxmlformats.org/officeDocument/2006/relationships/hyperlink" Id="rId92" Target="https://doi.org/10.1016/j.respol.2018.06.018" TargetMode="External" /><Relationship Type="http://schemas.openxmlformats.org/officeDocument/2006/relationships/hyperlink" Id="rId164" Target="https://doi.org/10.1016/j.tics.2017.06.007" TargetMode="External" /><Relationship Type="http://schemas.openxmlformats.org/officeDocument/2006/relationships/hyperlink" Id="rId112" Target="https://doi.org/10.1017/S0140525X0999152X" TargetMode="External" /><Relationship Type="http://schemas.openxmlformats.org/officeDocument/2006/relationships/hyperlink" Id="rId174" Target="https://doi.org/10.1017/S0140525X17001972" TargetMode="External" /><Relationship Type="http://schemas.openxmlformats.org/officeDocument/2006/relationships/hyperlink" Id="rId151" Target="https://doi.org/10.1027/1864-9335/a000192" TargetMode="External" /><Relationship Type="http://schemas.openxmlformats.org/officeDocument/2006/relationships/hyperlink" Id="rId139" Target="https://doi.org/10.1037/a0039400" TargetMode="External" /><Relationship Type="http://schemas.openxmlformats.org/officeDocument/2006/relationships/hyperlink" Id="rId118" Target="https://doi.org/10.1037/met0000438" TargetMode="External" /><Relationship Type="http://schemas.openxmlformats.org/officeDocument/2006/relationships/hyperlink" Id="rId94" Target="https://doi.org/10.1038/d41586-022-00150-2" TargetMode="External" /><Relationship Type="http://schemas.openxmlformats.org/officeDocument/2006/relationships/hyperlink" Id="rId168" Target="https://doi.org/10.1038/s41467-021-27668-9" TargetMode="External" /><Relationship Type="http://schemas.openxmlformats.org/officeDocument/2006/relationships/hyperlink" Id="rId123" Target="https://doi.org/10.1038/s41562-020-01007-2" TargetMode="External" /><Relationship Type="http://schemas.openxmlformats.org/officeDocument/2006/relationships/hyperlink" Id="rId172" Target="https://doi.org/10.1038/s41562-021-01173-x" TargetMode="External" /><Relationship Type="http://schemas.openxmlformats.org/officeDocument/2006/relationships/hyperlink" Id="rId88" Target="https://doi.org/10.1038/s41562-022-01319-5" TargetMode="External" /><Relationship Type="http://schemas.openxmlformats.org/officeDocument/2006/relationships/hyperlink" Id="rId83" Target="https://doi.org/10.1038/s41567-021-01278-0" TargetMode="External" /><Relationship Type="http://schemas.openxmlformats.org/officeDocument/2006/relationships/hyperlink" Id="rId159" Target="https://doi.org/10.1073/pnas.1721165115" TargetMode="External" /><Relationship Type="http://schemas.openxmlformats.org/officeDocument/2006/relationships/hyperlink" Id="rId110" Target="https://doi.org/10.1080/00224545.2014.853582" TargetMode="External" /><Relationship Type="http://schemas.openxmlformats.org/officeDocument/2006/relationships/hyperlink" Id="rId96" Target="https://doi.org/10.1126/science.1084564" TargetMode="External" /><Relationship Type="http://schemas.openxmlformats.org/officeDocument/2006/relationships/hyperlink" Id="rId108" Target="https://doi.org/10.1126/science.1255484" TargetMode="External" /><Relationship Type="http://schemas.openxmlformats.org/officeDocument/2006/relationships/hyperlink" Id="rId149" Target="https://doi.org/10.1126/science.aab2374" TargetMode="External" /><Relationship Type="http://schemas.openxmlformats.org/officeDocument/2006/relationships/hyperlink" Id="rId157" Target="https://doi.org/10.1126/science.aac4716" TargetMode="External" /><Relationship Type="http://schemas.openxmlformats.org/officeDocument/2006/relationships/hyperlink" Id="rId145" Target="https://doi.org/10.1146/annurev-psych-122216-011836" TargetMode="External" /><Relationship Type="http://schemas.openxmlformats.org/officeDocument/2006/relationships/hyperlink" Id="rId121" Target="https://doi.org/10.1177/0956797611430953" TargetMode="External" /><Relationship Type="http://schemas.openxmlformats.org/officeDocument/2006/relationships/hyperlink" Id="rId170" Target="https://doi.org/10.1177/09637214211067779" TargetMode="External" /><Relationship Type="http://schemas.openxmlformats.org/officeDocument/2006/relationships/hyperlink" Id="rId154" Target="https://doi.org/10.1177/1745691612459058" TargetMode="External" /><Relationship Type="http://schemas.openxmlformats.org/officeDocument/2006/relationships/hyperlink" Id="rId137" Target="https://doi.org/10.1177/2515245918785165" TargetMode="External" /><Relationship Type="http://schemas.openxmlformats.org/officeDocument/2006/relationships/hyperlink" Id="rId131" Target="https://doi.org/10.1177/2515245918787489" TargetMode="External" /><Relationship Type="http://schemas.openxmlformats.org/officeDocument/2006/relationships/hyperlink" Id="rId143" Target="https://doi.org/10.1177/2515245918797607" TargetMode="External" /><Relationship Type="http://schemas.openxmlformats.org/officeDocument/2006/relationships/hyperlink" Id="rId129" Target="https://doi.org/10.1177/2515245918810225" TargetMode="External" /><Relationship Type="http://schemas.openxmlformats.org/officeDocument/2006/relationships/hyperlink" Id="rId90" Target="https://doi.org/10.1177/2515245920917931" TargetMode="External" /><Relationship Type="http://schemas.openxmlformats.org/officeDocument/2006/relationships/hyperlink" Id="rId162" Target="https://doi.org/10.1177/2515245920927643" TargetMode="External" /><Relationship Type="http://schemas.openxmlformats.org/officeDocument/2006/relationships/hyperlink" Id="rId102" Target="https://doi.org/10.1177/2515245920958687" TargetMode="External" /><Relationship Type="http://schemas.openxmlformats.org/officeDocument/2006/relationships/hyperlink" Id="rId141" Target="https://doi.org/10.1186/s41073-021-00112-8" TargetMode="External" /><Relationship Type="http://schemas.openxmlformats.org/officeDocument/2006/relationships/hyperlink" Id="rId125" Target="https://doi.org/10.1371/journal.pbio.1002456" TargetMode="External" /><Relationship Type="http://schemas.openxmlformats.org/officeDocument/2006/relationships/hyperlink" Id="rId127" Target="https://doi.org/10.1525/collabra.35271" TargetMode="External" /><Relationship Type="http://schemas.openxmlformats.org/officeDocument/2006/relationships/hyperlink" Id="rId147" Target="https://doi.org/10.1558/jcsr.38413" TargetMode="External" /><Relationship Type="http://schemas.openxmlformats.org/officeDocument/2006/relationships/hyperlink" Id="rId114" Target="https://doi.org/10.2466/pr0.1997.80.1.337" TargetMode="External" /><Relationship Type="http://schemas.openxmlformats.org/officeDocument/2006/relationships/hyperlink" Id="rId166" Target="https://doi.org/10.31219/osf.io/8v2n7" TargetMode="External" /><Relationship Type="http://schemas.openxmlformats.org/officeDocument/2006/relationships/hyperlink" Id="rId106" Target="https://doi.org/10.31234/osf.io/2mdxh" TargetMode="External" /><Relationship Type="http://schemas.openxmlformats.org/officeDocument/2006/relationships/hyperlink" Id="rId133" Target="https://doi.org/10.31234/osf.io/n3dyf" TargetMode="External" /><Relationship Type="http://schemas.openxmlformats.org/officeDocument/2006/relationships/hyperlink" Id="rId98" Target="https://doi.org/10.31234/osf.io/sevkf" TargetMode="External" /><Relationship Type="http://schemas.openxmlformats.org/officeDocument/2006/relationships/hyperlink" Id="rId104"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116" Target="https://www.ncbi.nlm.nih.gov/pmc/articles/PMC4938249/"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does big team science?</dc:title>
  <dc:creator/>
  <cp:keywords/>
  <dcterms:created xsi:type="dcterms:W3CDTF">2023-03-17T02:45:19Z</dcterms:created>
  <dcterms:modified xsi:type="dcterms:W3CDTF">2023-03-17T02:45:19Z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Erin M. Buchanan is a Professor of Cognitive Analytics at Harrisburg University of Science and Technology. Savannah C. Lewis is a graduate student at the University of Alabama.Thank you to Dwayne Lieck for providing an extensive list of large scale projects for this manuscript.</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C:\Users\Lewis\AppData\Local\R\win-library\4.2\papaja\rmd\apa7.csl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Big Team Science</vt:lpwstr>
  </property>
  <property fmtid="{D5CDD505-2E9C-101B-9397-08002B2CF9AE}" pid="18" name="tablelist">
    <vt:lpwstr>False</vt:lpwstr>
  </property>
  <property fmtid="{D5CDD505-2E9C-101B-9397-08002B2CF9AE}" pid="19" name="wordcount">
    <vt:lpwstr>X</vt:lpwstr>
  </property>
</Properties>
</file>