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09.png" ContentType="image/png"/>
  <Override PartName="/word/media/rId112.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5.png" ContentType="image/png"/>
  <Override PartName="/word/media/rId106.png" ContentType="image/png"/>
  <Override PartName="/word/media/rId31.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will examine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will be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w:t>
      </w:r>
    </w:p>
    <w:p>
      <w:pPr>
        <w:pStyle w:val="Textkrper"/>
      </w:pPr>
      <w:r>
        <w:rPr>
          <w:iCs/>
          <w:i/>
        </w:rPr>
        <w:t xml:space="preserve">Keywords:</w:t>
      </w:r>
      <w:r>
        <w:t xml:space="preserve"> </w:t>
      </w:r>
      <w:r>
        <w:t xml:space="preserve">big team, science, authorship, credit</w:t>
      </w:r>
    </w:p>
    <w:p>
      <w:pPr>
        <w:pStyle w:val="Textkrper"/>
      </w:pPr>
      <w:r>
        <w:rPr>
          <w:iCs/>
          <w:i/>
        </w:rPr>
        <w:t xml:space="preserve">Word count:</w:t>
      </w:r>
      <w:r>
        <w:t xml:space="preserve"> </w:t>
      </w:r>
      <w:r>
        <w:t xml:space="preserve">X</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et al., 2022; Forscher et al., 2020; N. Stewart et al.,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et al., 2015; Nelson et al., 2018; Zwaan et al.,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 of</w:t>
      </w:r>
      <w:r>
        <w:t xml:space="preserve"> </w:t>
      </w:r>
      <w:r>
        <w:t xml:space="preserve">psychology, age groups, and education levels should help to drive</w:t>
      </w:r>
      <w:r>
        <w:t xml:space="preserve"> </w:t>
      </w:r>
      <w:r>
        <w:t xml:space="preserve">psychological science in the path of better materials, reliability,</w:t>
      </w:r>
      <w:r>
        <w:t xml:space="preserve"> </w:t>
      </w:r>
      <w:r>
        <w:t xml:space="preserve">generalizability and more robust sample size in a study</w:t>
      </w:r>
      <w:r>
        <w:t xml:space="preserve"> </w:t>
      </w:r>
      <w:r>
        <w:t xml:space="preserve">(Auspurg &amp; Brüderl, 2021; LeBel et al., 2018; Nosek &amp; Lakens, 2014b)</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et al., 2022)</w:t>
      </w:r>
      <w:r>
        <w:t xml:space="preserve">.</w:t>
      </w:r>
      <w:r>
        <w:t xml:space="preserve"> </w:t>
      </w:r>
      <w:r>
        <w:t xml:space="preserve">Generally, the movement has been driven by early career researchers</w:t>
      </w:r>
      <w:r>
        <w:t xml:space="preserve"> </w:t>
      </w:r>
      <w:r>
        <w:t xml:space="preserve">(i.e., those who are within five years of their first 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2020, 2016; Klein et al., 2022; for example,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et al., 2014; Hubbard &amp; Armstrong, 1997; Nosek et al.,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et al.,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(Nosek &amp; Lakens, 2014a;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(Nosek et al., 2015)</w:t>
      </w:r>
      <w:r>
        <w:t xml:space="preserve"> </w:t>
      </w:r>
      <w:r>
        <w:t xml:space="preserve">and the Contributor Role Taxonomy (CRediT) system</w:t>
      </w:r>
      <w:r>
        <w:t xml:space="preserve"> </w:t>
      </w:r>
      <w:r>
        <w:t xml:space="preserve">(Allen et al.,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et al., 2010; Newson et al., 2021; Rad et al.,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et al., 2018)</w:t>
      </w:r>
      <w:r>
        <w:t xml:space="preserve"> </w:t>
      </w:r>
      <w:r>
        <w:t xml:space="preserve">and</w:t>
      </w:r>
      <w:r>
        <w:t xml:space="preserve"> </w:t>
      </w:r>
      <w:r>
        <w:t xml:space="preserve">Biology</w:t>
      </w:r>
      <w:r>
        <w:t xml:space="preserve"> </w:t>
      </w:r>
      <w:r>
        <w:t xml:space="preserve">(Collins et al.,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expect to examine ICSR’s</w:t>
      </w:r>
      <w:r>
        <w:t xml:space="preserve"> </w:t>
      </w:r>
      <w:r>
        <w:t xml:space="preserve">Research Themes of inclusivity, research careers, and research</w:t>
      </w:r>
      <w:r>
        <w:t xml:space="preserve"> </w:t>
      </w:r>
      <w:r>
        <w:t xml:space="preserve">globalization. As we examine these themes, it will bring new knowledge</w:t>
      </w:r>
      <w:r>
        <w:t xml:space="preserve"> </w:t>
      </w:r>
      <w:r>
        <w:t xml:space="preserve">of how BTS projects impact each theme and field of study. We see an</w:t>
      </w:r>
      <w:r>
        <w:t xml:space="preserve"> </w:t>
      </w:r>
      <w:r>
        <w:t xml:space="preserve">increase in interest and publications in BTS but we do not yet know if</w:t>
      </w:r>
      <w:r>
        <w:t xml:space="preserve"> </w:t>
      </w:r>
      <w:r>
        <w:t xml:space="preserve">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4" w:name="potential-outlets"/>
    <w:p>
      <w:pPr>
        <w:pStyle w:val="berschrift1"/>
      </w:pPr>
      <w:r>
        <w:t xml:space="preserve">Potential Outlets</w:t>
      </w:r>
    </w:p>
    <w:p>
      <w:pPr>
        <w:pStyle w:val="FirstParagraph"/>
      </w:pPr>
      <w:r>
        <w:t xml:space="preserve">We will aim for high impact broad scope journals such as</w:t>
      </w:r>
      <w:r>
        <w:t xml:space="preserve"> </w:t>
      </w:r>
      <w:r>
        <w:rPr>
          <w:iCs/>
          <w:i/>
        </w:rPr>
        <w:t xml:space="preserve">Science</w:t>
      </w:r>
      <w:r>
        <w:t xml:space="preserve">,</w:t>
      </w:r>
      <w:r>
        <w:t xml:space="preserve"> </w:t>
      </w:r>
      <w:r>
        <w:rPr>
          <w:iCs/>
          <w:i/>
        </w:rPr>
        <w:t xml:space="preserve">Nature</w:t>
      </w:r>
      <w:r>
        <w:t xml:space="preserve"> </w:t>
      </w:r>
      <w:r>
        <w:t xml:space="preserve">or</w:t>
      </w:r>
      <w:r>
        <w:t xml:space="preserve"> </w:t>
      </w:r>
      <w:r>
        <w:rPr>
          <w:iCs/>
          <w:i/>
        </w:rPr>
        <w:t xml:space="preserve">Nature Human Behaviour</w:t>
      </w:r>
      <w:r>
        <w:t xml:space="preserve">. Other journals would include</w:t>
      </w:r>
      <w:r>
        <w:t xml:space="preserve"> </w:t>
      </w:r>
      <w:r>
        <w:t xml:space="preserve">review publications within psychology to compare the social sciences to</w:t>
      </w:r>
      <w:r>
        <w:t xml:space="preserve"> </w:t>
      </w:r>
      <w:r>
        <w:t xml:space="preserve">other sciences:</w:t>
      </w:r>
      <w:r>
        <w:t xml:space="preserve"> </w:t>
      </w:r>
      <w:r>
        <w:rPr>
          <w:iCs/>
          <w:i/>
        </w:rPr>
        <w:t xml:space="preserve">Perspectives in Psychological Science</w:t>
      </w:r>
      <w:r>
        <w:t xml:space="preserve">,</w:t>
      </w:r>
      <w:r>
        <w:t xml:space="preserve"> </w:t>
      </w:r>
      <w:r>
        <w:rPr>
          <w:iCs/>
          <w:i/>
        </w:rPr>
        <w:t xml:space="preserve">Psychological</w:t>
      </w:r>
      <w:r>
        <w:rPr>
          <w:iCs/>
          <w:i/>
        </w:rPr>
        <w:t xml:space="preserve"> </w:t>
      </w:r>
      <w:r>
        <w:rPr>
          <w:iCs/>
          <w:i/>
        </w:rPr>
        <w:t xml:space="preserve">Bulletin</w:t>
      </w:r>
      <w:r>
        <w:t xml:space="preserve">,</w:t>
      </w:r>
      <w:r>
        <w:t xml:space="preserve"> </w:t>
      </w:r>
      <w:r>
        <w:rPr>
          <w:iCs/>
          <w:i/>
        </w:rPr>
        <w:t xml:space="preserve">Psychological Review</w:t>
      </w:r>
      <w:r>
        <w:t xml:space="preserve">, or</w:t>
      </w:r>
      <w:r>
        <w:t xml:space="preserve"> </w:t>
      </w:r>
      <w:r>
        <w:rPr>
          <w:iCs/>
          <w:i/>
        </w:rPr>
        <w:t xml:space="preserve">Current Directions in</w:t>
      </w:r>
      <w:r>
        <w:rPr>
          <w:iCs/>
          <w:i/>
        </w:rPr>
        <w:t xml:space="preserve"> </w:t>
      </w:r>
      <w:r>
        <w:rPr>
          <w:iCs/>
          <w:i/>
        </w:rPr>
        <w:t xml:space="preserve">Psychological Science</w:t>
      </w:r>
      <w:r>
        <w:t xml:space="preserve">.</w:t>
      </w:r>
    </w:p>
    <w:bookmarkEnd w:id="24"/>
    <w:bookmarkStart w:id="25"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For each of these research questions, we will examine the overall</w:t>
      </w:r>
      <w:r>
        <w:t xml:space="preserve"> </w:t>
      </w:r>
      <w:r>
        <w:t xml:space="preserve">results of all big team research projects, and examine for change in</w:t>
      </w:r>
      <w:r>
        <w:t xml:space="preserve"> </w:t>
      </w:r>
      <w:r>
        <w:t xml:space="preserve">result trends across years of publication. Below we detail our methods</w:t>
      </w:r>
      <w:r>
        <w:t xml:space="preserve"> </w:t>
      </w:r>
      <w:r>
        <w:t xml:space="preserve">and the ICSR/Scopus data to answer these questions, along with examples</w:t>
      </w:r>
      <w:r>
        <w:t xml:space="preserve"> </w:t>
      </w:r>
      <w:r>
        <w:t xml:space="preserve">of the statistical results we expect to report in the manuscript. We</w:t>
      </w:r>
      <w:r>
        <w:t xml:space="preserve"> </w:t>
      </w:r>
      <w:r>
        <w:t xml:space="preserve">began this project with data using Google Scholar and ORCID information.</w:t>
      </w:r>
      <w:r>
        <w:t xml:space="preserve"> </w:t>
      </w:r>
      <w:r>
        <w:t xml:space="preserve">These sources were severely limited in their scope and breadth, as they</w:t>
      </w:r>
      <w:r>
        <w:t xml:space="preserve"> </w:t>
      </w:r>
      <w:r>
        <w:t xml:space="preserve">are often curated with automatic processes or self-entered data, and we</w:t>
      </w:r>
      <w:r>
        <w:t xml:space="preserve"> </w:t>
      </w:r>
      <w:r>
        <w:t xml:space="preserve">believe that access to Scopus and ICSR would allow us to accurately</w:t>
      </w:r>
      <w:r>
        <w:t xml:space="preserve"> </w:t>
      </w:r>
      <w:r>
        <w:t xml:space="preserve">portray the BTS movement and its impact on diversity across many fields.</w:t>
      </w:r>
      <w:r>
        <w:t xml:space="preserve"> </w:t>
      </w:r>
      <w:r>
        <w:t xml:space="preserve">The novelty of this project is that it would focus on all of published</w:t>
      </w:r>
      <w:r>
        <w:t xml:space="preserve"> </w:t>
      </w:r>
      <w:r>
        <w:t xml:space="preserve">works, rather than a specific subfield (like Psychology) and give a lens</w:t>
      </w:r>
      <w:r>
        <w:t xml:space="preserve"> </w:t>
      </w:r>
      <w:r>
        <w:t xml:space="preserve">into global representation in science that would otherwise not be</w:t>
      </w:r>
      <w:r>
        <w:t xml:space="preserve"> </w:t>
      </w:r>
      <w:r>
        <w:t xml:space="preserve">achieved with open-source databases.</w:t>
      </w:r>
    </w:p>
    <w:bookmarkEnd w:id="25"/>
    <w:bookmarkStart w:id="83" w:name="method"/>
    <w:p>
      <w:pPr>
        <w:pStyle w:val="berschrift1"/>
      </w:pPr>
      <w:r>
        <w:t xml:space="preserve">Method</w:t>
      </w:r>
    </w:p>
    <w:bookmarkStart w:id="26" w:name="publications"/>
    <w:p>
      <w:pPr>
        <w:pStyle w:val="berschrift2"/>
      </w:pPr>
      <w:r>
        <w:t xml:space="preserve">Publications</w:t>
      </w:r>
    </w:p>
    <w:p>
      <w:pPr>
        <w:pStyle w:val="FirstParagraph"/>
      </w:pPr>
      <w:r>
        <w:t xml:space="preserve">We have defined</w:t>
      </w:r>
      <w:r>
        <w:t xml:space="preserve"> </w:t>
      </w:r>
      <w:r>
        <w:rPr>
          <w:bCs/>
          <w:b/>
        </w:rPr>
        <w:t xml:space="preserve">BTS publications</w:t>
      </w:r>
      <w:r>
        <w:t xml:space="preserve"> </w:t>
      </w:r>
      <w:r>
        <w:t xml:space="preserve">as publications with at least 10</w:t>
      </w:r>
      <w:r>
        <w:t xml:space="preserve"> </w:t>
      </w:r>
      <w:r>
        <w:t xml:space="preserve">authors at 10 different institutions that were published in</w:t>
      </w:r>
      <w:r>
        <w:t xml:space="preserve"> </w:t>
      </w:r>
      <w:r>
        <w:t xml:space="preserve">peer-reviewed journals or had posted a full paper pre-print. We will use</w:t>
      </w:r>
      <w:r>
        <w:t xml:space="preserve"> </w:t>
      </w:r>
      <w:r>
        <w:t xml:space="preserve">data from 1970 and forward in the publications (</w:t>
      </w:r>
      <w:r>
        <w:rPr>
          <w:rStyle w:val="VerbatimChar"/>
        </w:rPr>
        <w:t xml:space="preserve">ani</w:t>
      </w:r>
      <w:r>
        <w:t xml:space="preserve">) database, as it</w:t>
      </w:r>
      <w:r>
        <w:t xml:space="preserve"> </w:t>
      </w:r>
      <w:r>
        <w:t xml:space="preserve">is noted online that this time period includes cited references for</w:t>
      </w:r>
      <w:r>
        <w:t xml:space="preserve"> </w:t>
      </w:r>
      <w:r>
        <w:t xml:space="preserve">calculation of several of our variables described below. We will analyze</w:t>
      </w:r>
      <w:r>
        <w:t xml:space="preserve"> </w:t>
      </w:r>
      <w:r>
        <w:t xml:space="preserve">our results based on the big four subject areas: Physical Sciences,</w:t>
      </w:r>
      <w:r>
        <w:t xml:space="preserve"> </w:t>
      </w:r>
      <w:r>
        <w:t xml:space="preserve">Health Sciences, Social Sciences, and Life Sciences. We filtered the database to include articles, articles in press, business articles, conference papers, data papers, preprints, and surveys using Elsevier’s classification system.</w:t>
      </w:r>
    </w:p>
    <w:bookmarkEnd w:id="26"/>
    <w:bookmarkStart w:id="30" w:name="data-curation"/>
    <w:p>
      <w:pPr>
        <w:pStyle w:val="berschrift2"/>
      </w:pPr>
      <w:r>
        <w:t xml:space="preserve">Data Curation</w:t>
      </w:r>
    </w:p>
    <w:bookmarkStart w:id="27" w:name="rq1-publisher-information."/>
    <w:p>
      <w:pPr>
        <w:pStyle w:val="berschrift3"/>
      </w:pPr>
      <w:r>
        <w:t xml:space="preserve">RQ1: Publisher Information..</w:t>
      </w:r>
    </w:p>
    <w:p>
      <w:pPr>
        <w:pStyle w:val="FirstParagraph"/>
      </w:pPr>
      <w:r>
        <w:t xml:space="preserve">Using these criteria, we will extract the following information for</w:t>
      </w:r>
      <w:r>
        <w:t xml:space="preserve"> </w:t>
      </w:r>
      <w:r>
        <w:t xml:space="preserve">publication sources: the name of the publication (source title), subject</w:t>
      </w:r>
      <w:r>
        <w:t xml:space="preserve"> </w:t>
      </w:r>
      <w:r>
        <w:t xml:space="preserve">area (both the large four subject areas and the smaller four digit all</w:t>
      </w:r>
      <w:r>
        <w:t xml:space="preserve"> </w:t>
      </w:r>
      <w:r>
        <w:t xml:space="preserve">science journal classification ASJC codes). We will examine journal</w:t>
      </w:r>
      <w:r>
        <w:t xml:space="preserve"> </w:t>
      </w:r>
      <w:r>
        <w:t xml:space="preserve">impact using the Source Normalized Impact per Paper from the journal</w:t>
      </w:r>
      <w:r>
        <w:t xml:space="preserve"> </w:t>
      </w:r>
      <w:r>
        <w:t xml:space="preserve">(</w:t>
      </w:r>
      <w:r>
        <w:rPr>
          <w:rStyle w:val="VerbatimChar"/>
        </w:rPr>
        <w:t xml:space="preserve">sources</w:t>
      </w:r>
      <w:r>
        <w:t xml:space="preserve">) database.</w:t>
      </w:r>
    </w:p>
    <w:bookmarkEnd w:id="27"/>
    <w:bookmarkStart w:id="28" w:name="rq2-publication-information."/>
    <w:p>
      <w:pPr>
        <w:pStyle w:val="berschrift3"/>
      </w:pPr>
      <w:r>
        <w:t xml:space="preserve">RQ2: Publication Information..</w:t>
      </w:r>
    </w:p>
    <w:p>
      <w:pPr>
        <w:pStyle w:val="FirstParagraph"/>
      </w:pPr>
      <w:r>
        <w:t xml:space="preserve">For each publication of the identified BTS publications, we will analyze</w:t>
      </w:r>
      <w:r>
        <w:t xml:space="preserve"> </w:t>
      </w:r>
      <w:r>
        <w:t xml:space="preserve">the full four digit ASJC subject areas codes for each of the larger four</w:t>
      </w:r>
      <w:r>
        <w:t xml:space="preserve"> </w:t>
      </w:r>
      <w:r>
        <w:t xml:space="preserve">subject areas and the keywords present for these publications.</w:t>
      </w:r>
    </w:p>
    <w:bookmarkEnd w:id="28"/>
    <w:bookmarkStart w:id="29" w:name="rq3-author-information."/>
    <w:p>
      <w:pPr>
        <w:pStyle w:val="berschrift3"/>
      </w:pPr>
      <w:r>
        <w:t xml:space="preserve">RQ3: Author Information..</w:t>
      </w:r>
    </w:p>
    <w:p>
      <w:pPr>
        <w:pStyle w:val="FirstParagraph"/>
      </w:pPr>
      <w:r>
        <w:t xml:space="preserve">The author list will then be extracted from each publication. Next, we</w:t>
      </w:r>
      <w:r>
        <w:t xml:space="preserve"> </w:t>
      </w:r>
      <w:r>
        <w:t xml:space="preserve">will use the author (</w:t>
      </w:r>
      <w:r>
        <w:rPr>
          <w:rStyle w:val="VerbatimChar"/>
        </w:rPr>
        <w:t xml:space="preserve">au</w:t>
      </w:r>
      <w:r>
        <w:t xml:space="preserve">) and affiliation (</w:t>
      </w:r>
      <w:r>
        <w:rPr>
          <w:rStyle w:val="VerbatimChar"/>
        </w:rPr>
        <w:t xml:space="preserve">af</w:t>
      </w:r>
      <w:r>
        <w:t xml:space="preserve">) array to curate a list</w:t>
      </w:r>
      <w:r>
        <w:t xml:space="preserve"> </w:t>
      </w:r>
      <w:r>
        <w:t xml:space="preserve">of all publications and author information included in BTS papers. We</w:t>
      </w:r>
      <w:r>
        <w:t xml:space="preserve"> </w:t>
      </w:r>
      <w:r>
        <w:t xml:space="preserve">will use these two arrays with the publication array to calculate the</w:t>
      </w:r>
      <w:r>
        <w:t xml:space="preserve"> </w:t>
      </w:r>
      <w:r>
        <w:t xml:space="preserve">variables described below.</w:t>
      </w:r>
    </w:p>
    <w:p>
      <w:pPr>
        <w:pStyle w:val="Textkrper"/>
      </w:pPr>
      <w:r>
        <w:rPr>
          <w:iCs/>
          <w:i/>
          <w:bCs/>
          <w:b/>
        </w:rPr>
        <w:t xml:space="preserve">Career Length</w:t>
      </w:r>
      <w:r>
        <w:t xml:space="preserve">. Career length for each author will be defined as</w:t>
      </w:r>
      <w:r>
        <w:t xml:space="preserve"> </w:t>
      </w:r>
      <w:r>
        <w:t xml:space="preserve">the year of the first publication listed for each author.</w:t>
      </w:r>
    </w:p>
    <w:p>
      <w:pPr>
        <w:pStyle w:val="Textkrper"/>
      </w:pPr>
      <w:r>
        <w:rPr>
          <w:iCs/>
          <w:i/>
          <w:bCs/>
          <w:b/>
        </w:rPr>
        <w:t xml:space="preserve">Institution and Geopolitical Region</w:t>
      </w:r>
      <w:r>
        <w:rPr>
          <w:iCs/>
          <w:i/>
          <w:bCs/>
          <w:b/>
        </w:rPr>
        <w:t xml:space="preserve"> </w:t>
      </w:r>
      <w:r>
        <w:t xml:space="preserve">. We will use the affiliation ids and country to gather</w:t>
      </w:r>
      <w:r>
        <w:t xml:space="preserve"> </w:t>
      </w:r>
      <w:r>
        <w:t xml:space="preserve">information about the places of education and/or employment for authors.</w:t>
      </w:r>
      <w:r>
        <w:t xml:space="preserve"> </w:t>
      </w:r>
      <w:r>
        <w:t xml:space="preserve">Country will likely be binned into United Nation Region, Sub-Region, or smaller clusters for</w:t>
      </w:r>
      <w:r>
        <w:t xml:space="preserve"> </w:t>
      </w:r>
      <w:r>
        <w:t xml:space="preserve">analyses.</w:t>
      </w:r>
    </w:p>
    <w:p>
      <w:pPr>
        <w:pStyle w:val="Textkrper"/>
      </w:pPr>
      <w:r>
        <w:rPr>
          <w:iCs/>
          <w:i/>
          <w:bCs/>
          <w:b/>
        </w:rPr>
        <w:t xml:space="preserve">Education</w:t>
      </w:r>
      <w:r>
        <w:t xml:space="preserve">. We will also collect degree information from the author</w:t>
      </w:r>
      <w:r>
        <w:t xml:space="preserve"> </w:t>
      </w:r>
      <w:r>
        <w:t xml:space="preserve">table.</w:t>
      </w:r>
    </w:p>
    <w:p>
      <w:pPr>
        <w:pStyle w:val="Textkrper"/>
      </w:pPr>
      <w:r>
        <w:rPr>
          <w:iCs/>
          <w:i/>
          <w:bCs/>
          <w:b/>
        </w:rPr>
        <w:t xml:space="preserve">Types of Publications</w:t>
      </w:r>
      <w:r>
        <w:t xml:space="preserve">. We will gather information from the</w:t>
      </w:r>
      <w:r>
        <w:t xml:space="preserve"> </w:t>
      </w:r>
      <w:r>
        <w:t xml:space="preserve">publication type variable for each author publication to present</w:t>
      </w:r>
      <w:r>
        <w:t xml:space="preserve"> </w:t>
      </w:r>
      <w:r>
        <w:t xml:space="preserve">information about the types of papers BTS authors publish.</w:t>
      </w:r>
    </w:p>
    <w:p>
      <w:pPr>
        <w:pStyle w:val="Textkrper"/>
      </w:pPr>
      <w:r>
        <w:rPr>
          <w:iCs/>
          <w:i/>
          <w:bCs/>
          <w:b/>
        </w:rPr>
        <w:t xml:space="preserve">Publication Metrics</w:t>
      </w:r>
      <w:r>
        <w:t xml:space="preserve">. For each author, we will calculate the total</w:t>
      </w:r>
      <w:r>
        <w:t xml:space="preserve"> </w:t>
      </w:r>
      <w:r>
        <w:t xml:space="preserve">number of publications, and the h-index. The h-index represents the 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p>
    <w:bookmarkEnd w:id="29"/>
    <w:bookmarkEnd w:id="30"/>
    <w:bookmarkStart w:id="82" w:name="data-analysis"/>
    <w:p>
      <w:pPr>
        <w:pStyle w:val="berschrift2"/>
      </w:pPr>
      <w:r>
        <w:t xml:space="preserve">Data analysis</w:t>
      </w:r>
    </w:p>
    <w:bookmarkStart w:id="34" w:name="rq1-publisher-information.-1"/>
    <w:p>
      <w:pPr>
        <w:pStyle w:val="berschrift3"/>
      </w:pPr>
      <w:r>
        <w:t xml:space="preserve">RQ1: Publisher Information..</w:t>
      </w:r>
    </w:p>
    <w:p>
      <w:pPr>
        <w:pStyle w:val="FirstParagraph"/>
      </w:pPr>
      <w:r>
        <w:t xml:space="preserve">To present results on this research question, we will analyze:</w:t>
      </w:r>
    </w:p>
    <w:p>
      <w:pPr>
        <w:numPr>
          <w:ilvl w:val="0"/>
          <w:numId w:val="1002"/>
        </w:numPr>
        <w:pStyle w:val="Compact"/>
      </w:pPr>
      <w:r>
        <w:t xml:space="preserve">Number of articles for inclusion: total, separated by four subject</w:t>
      </w:r>
      <w:r>
        <w:t xml:space="preserve"> </w:t>
      </w:r>
      <w:r>
        <w:t xml:space="preserve">areas, presenting graphics of the number of publication across time</w:t>
      </w:r>
      <w:r>
        <w:t xml:space="preserve"> </w:t>
      </w:r>
      <w:r>
        <w:t xml:space="preserve">total</w:t>
      </w:r>
    </w:p>
    <w:p>
      <w:pPr>
        <w:pStyle w:val="FirstParagraph"/>
      </w:pPr>
      <w:r>
        <w:t xml:space="preserve">The total number of articles included in this analysis was 13581 including 10685 Health Sciences articles, 6151 Physical Sciences articles, 543 Social Sciences articles, and 7686 Life Sciences articles. Articles could be classified into multiple categories.</w:t>
      </w:r>
    </w:p>
    <w:p>
      <w:pPr>
        <w:pStyle w:val="Textkrper"/>
      </w:pPr>
      <w:r>
        <w:drawing>
          <wp:inline>
            <wp:extent cx="5969000" cy="4775200"/>
            <wp:effectExtent b="0" l="0" r="0" t="0"/>
            <wp:docPr descr="" title="" id="32" name="Picture"/>
            <a:graphic>
              <a:graphicData uri="http://schemas.openxmlformats.org/drawingml/2006/picture">
                <pic:pic>
                  <pic:nvPicPr>
                    <pic:cNvPr descr="manuscript_scopus_files/figure-docx/unnamed-chunk-2-1.png" id="33"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03"/>
        </w:numPr>
        <w:pStyle w:val="Compact"/>
      </w:pPr>
      <w:r>
        <w:t xml:space="preserve">Number of distinct journals within each of the four subject areas</w:t>
      </w:r>
    </w:p>
    <w:p>
      <w:pPr>
        <w:pStyle w:val="FirstParagraph"/>
      </w:pPr>
      <w:r>
        <w:t xml:space="preserve">The number of distinct journals big team science articles were published in was 2534 with 1472 journals in Health Sciences, 641 journals in Physical Sciences, 206 journals in Social Sciences, and 1024 journals in Life Sciences. The descriptive statistics for the Source Normalized Impact per Paper is presented in Table X. For comparison, the SNIP descriptive statistics for all papers is shown in Table X.</w:t>
      </w:r>
    </w:p>
    <w:p>
      <w:pPr>
        <w:pStyle w:val="Textkrper"/>
      </w:pPr>
      <w:r>
        <w:t xml:space="preserve">Big-Team Science SNIP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Subject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Maximum</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Sciences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Physical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Multidisciplinary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Life Sciences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12.62</w:t>
            </w:r>
          </w:p>
        </w:tc>
      </w:tr>
    </w:tbl>
    <w:p>
      <w:pPr>
        <w:pStyle w:val="Textkrper"/>
      </w:pPr>
      <w:r>
        <w:t xml:space="preserve">All Journal Articles SNIP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Subject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Maximum</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Sciences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Multidisciplinary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Physical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Life Sciences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19.07</w:t>
            </w:r>
          </w:p>
        </w:tc>
      </w:tr>
    </w:tbl>
    <w:bookmarkEnd w:id="34"/>
    <w:bookmarkStart w:id="65" w:name="rq2-publication-information.-1"/>
    <w:p>
      <w:pPr>
        <w:pStyle w:val="berschrift3"/>
      </w:pPr>
      <w:r>
        <w:t xml:space="preserve">RQ2: Publication Information..</w:t>
      </w:r>
    </w:p>
    <w:p>
      <w:pPr>
        <w:pStyle w:val="FirstParagraph"/>
      </w:pPr>
      <w:r>
        <w:t xml:space="preserve">For each publication, we will examine:</w:t>
      </w:r>
    </w:p>
    <w:p>
      <w:pPr>
        <w:numPr>
          <w:ilvl w:val="0"/>
          <w:numId w:val="1004"/>
        </w:numPr>
        <w:pStyle w:val="Compact"/>
      </w:pPr>
      <w:r>
        <w:t xml:space="preserve">The totals of the number of articles published within the smaller</w:t>
      </w:r>
      <w:r>
        <w:t xml:space="preserve"> </w:t>
      </w:r>
      <w:r>
        <w:t xml:space="preserve">subject area classifications. We will visualize these differences</w:t>
      </w:r>
      <w:r>
        <w:t xml:space="preserve"> </w:t>
      </w:r>
      <w:r>
        <w:t xml:space="preserve">over time to determine if there is increasing interest in a specific</w:t>
      </w:r>
      <w:r>
        <w:t xml:space="preserve"> </w:t>
      </w:r>
      <w:r>
        <w:t xml:space="preserve">subarea over time for each of the four larger subject area</w:t>
      </w:r>
      <w:r>
        <w:t xml:space="preserve"> </w:t>
      </w:r>
      <w:r>
        <w:t xml:space="preserve">classifications.</w:t>
      </w:r>
    </w:p>
    <w:p>
      <w:pPr>
        <w:pStyle w:val="FirstParagraph"/>
      </w:pPr>
      <w:r>
        <w:drawing>
          <wp:inline>
            <wp:extent cx="5969000" cy="6088380"/>
            <wp:effectExtent b="0" l="0" r="0" t="0"/>
            <wp:docPr descr="" title="" id="36" name="Picture"/>
            <a:graphic>
              <a:graphicData uri="http://schemas.openxmlformats.org/drawingml/2006/picture">
                <pic:pic>
                  <pic:nvPicPr>
                    <pic:cNvPr descr="manuscript_scopus_files/figure-docx/unnamed-chunk-6-1.png" id="37" name="Picture"/>
                    <pic:cNvPicPr>
                      <a:picLocks noChangeArrowheads="1" noChangeAspect="1"/>
                    </pic:cNvPicPr>
                  </pic:nvPicPr>
                  <pic:blipFill>
                    <a:blip r:embed="rId35"/>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39" name="Picture"/>
            <a:graphic>
              <a:graphicData uri="http://schemas.openxmlformats.org/drawingml/2006/picture">
                <pic:pic>
                  <pic:nvPicPr>
                    <pic:cNvPr descr="manuscript_scopus_files/figure-docx/unnamed-chunk-6-2.png" id="40" name="Picture"/>
                    <pic:cNvPicPr>
                      <a:picLocks noChangeArrowheads="1" noChangeAspect="1"/>
                    </pic:cNvPicPr>
                  </pic:nvPicPr>
                  <pic:blipFill>
                    <a:blip r:embed="rId38"/>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42" name="Picture"/>
            <a:graphic>
              <a:graphicData uri="http://schemas.openxmlformats.org/drawingml/2006/picture">
                <pic:pic>
                  <pic:nvPicPr>
                    <pic:cNvPr descr="manuscript_scopus_files/figure-docx/unnamed-chunk-6-3.png" id="43" name="Picture"/>
                    <pic:cNvPicPr>
                      <a:picLocks noChangeArrowheads="1" noChangeAspect="1"/>
                    </pic:cNvPicPr>
                  </pic:nvPicPr>
                  <pic:blipFill>
                    <a:blip r:embed="rId41"/>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45" name="Picture"/>
            <a:graphic>
              <a:graphicData uri="http://schemas.openxmlformats.org/drawingml/2006/picture">
                <pic:pic>
                  <pic:nvPicPr>
                    <pic:cNvPr descr="manuscript_scopus_files/figure-docx/unnamed-chunk-6-4.png" id="46" name="Picture"/>
                    <pic:cNvPicPr>
                      <a:picLocks noChangeArrowheads="1" noChangeAspect="1"/>
                    </pic:cNvPicPr>
                  </pic:nvPicPr>
                  <pic:blipFill>
                    <a:blip r:embed="rId44"/>
                    <a:stretch>
                      <a:fillRect/>
                    </a:stretch>
                  </pic:blipFill>
                  <pic:spPr bwMode="auto">
                    <a:xfrm>
                      <a:off x="0" y="0"/>
                      <a:ext cx="5969000" cy="608838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48" name="Picture"/>
            <a:graphic>
              <a:graphicData uri="http://schemas.openxmlformats.org/drawingml/2006/picture">
                <pic:pic>
                  <pic:nvPicPr>
                    <pic:cNvPr descr="manuscript_scopus_files/figure-docx/unnamed-chunk-7-1.png" id="49"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05"/>
        </w:numPr>
        <w:pStyle w:val="Compact"/>
      </w:pPr>
      <w:r>
        <w:t xml:space="preserve">The keywords present in the publications data overall to identify</w:t>
      </w:r>
      <w:r>
        <w:t xml:space="preserve"> </w:t>
      </w:r>
      <w:r>
        <w:t xml:space="preserve">trends and common themes in the publications for the four subject</w:t>
      </w:r>
      <w:r>
        <w:t xml:space="preserve"> </w:t>
      </w:r>
      <w:r>
        <w:t xml:space="preserve">areas using visualizations (wordclouds) to depict the common</w:t>
      </w:r>
      <w:r>
        <w:t xml:space="preserve"> </w:t>
      </w:r>
      <w:r>
        <w:t xml:space="preserve">keywords.</w:t>
      </w:r>
    </w:p>
    <w:p>
      <w:pPr>
        <w:pStyle w:val="FirstParagraph"/>
      </w:pPr>
      <w:r>
        <w:drawing>
          <wp:inline>
            <wp:extent cx="5969000" cy="6088380"/>
            <wp:effectExtent b="0" l="0" r="0" t="0"/>
            <wp:docPr descr="" title="" id="51" name="Picture"/>
            <a:graphic>
              <a:graphicData uri="http://schemas.openxmlformats.org/drawingml/2006/picture">
                <pic:pic>
                  <pic:nvPicPr>
                    <pic:cNvPr descr="manuscript_scopus_files/figure-docx/unnamed-chunk-8-1.png" id="52" name="Picture"/>
                    <pic:cNvPicPr>
                      <a:picLocks noChangeArrowheads="1" noChangeAspect="1"/>
                    </pic:cNvPicPr>
                  </pic:nvPicPr>
                  <pic:blipFill>
                    <a:blip r:embed="rId50"/>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54" name="Picture"/>
            <a:graphic>
              <a:graphicData uri="http://schemas.openxmlformats.org/drawingml/2006/picture">
                <pic:pic>
                  <pic:nvPicPr>
                    <pic:cNvPr descr="manuscript_scopus_files/figure-docx/unnamed-chunk-8-2.png" id="55" name="Picture"/>
                    <pic:cNvPicPr>
                      <a:picLocks noChangeArrowheads="1" noChangeAspect="1"/>
                    </pic:cNvPicPr>
                  </pic:nvPicPr>
                  <pic:blipFill>
                    <a:blip r:embed="rId53"/>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57" name="Picture"/>
            <a:graphic>
              <a:graphicData uri="http://schemas.openxmlformats.org/drawingml/2006/picture">
                <pic:pic>
                  <pic:nvPicPr>
                    <pic:cNvPr descr="manuscript_scopus_files/figure-docx/unnamed-chunk-8-3.png" id="58" name="Picture"/>
                    <pic:cNvPicPr>
                      <a:picLocks noChangeArrowheads="1" noChangeAspect="1"/>
                    </pic:cNvPicPr>
                  </pic:nvPicPr>
                  <pic:blipFill>
                    <a:blip r:embed="rId56"/>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60" name="Picture"/>
            <a:graphic>
              <a:graphicData uri="http://schemas.openxmlformats.org/drawingml/2006/picture">
                <pic:pic>
                  <pic:nvPicPr>
                    <pic:cNvPr descr="manuscript_scopus_files/figure-docx/unnamed-chunk-8-4.png" id="61" name="Picture"/>
                    <pic:cNvPicPr>
                      <a:picLocks noChangeArrowheads="1" noChangeAspect="1"/>
                    </pic:cNvPicPr>
                  </pic:nvPicPr>
                  <pic:blipFill>
                    <a:blip r:embed="rId59"/>
                    <a:stretch>
                      <a:fillRect/>
                    </a:stretch>
                  </pic:blipFill>
                  <pic:spPr bwMode="auto">
                    <a:xfrm>
                      <a:off x="0" y="0"/>
                      <a:ext cx="5969000" cy="608838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63" name="Picture"/>
            <a:graphic>
              <a:graphicData uri="http://schemas.openxmlformats.org/drawingml/2006/picture">
                <pic:pic>
                  <pic:nvPicPr>
                    <pic:cNvPr descr="manuscript_scopus_files/figure-docx/unnamed-chunk-9-1.png" id="64" name="Picture"/>
                    <pic:cNvPicPr>
                      <a:picLocks noChangeArrowheads="1" noChangeAspect="1"/>
                    </pic:cNvPicPr>
                  </pic:nvPicPr>
                  <pic:blipFill>
                    <a:blip r:embed="rId62"/>
                    <a:stretch>
                      <a:fillRect/>
                    </a:stretch>
                  </pic:blipFill>
                  <pic:spPr bwMode="auto">
                    <a:xfrm>
                      <a:off x="0" y="0"/>
                      <a:ext cx="5969000" cy="4775200"/>
                    </a:xfrm>
                    <a:prstGeom prst="rect">
                      <a:avLst/>
                    </a:prstGeom>
                    <a:noFill/>
                    <a:ln w="9525">
                      <a:noFill/>
                      <a:headEnd/>
                      <a:tailEnd/>
                    </a:ln>
                  </pic:spPr>
                </pic:pic>
              </a:graphicData>
            </a:graphic>
          </wp:inline>
        </w:drawing>
      </w:r>
    </w:p>
    <w:bookmarkEnd w:id="65"/>
    <w:bookmarkStart w:id="81" w:name="rq3-authors."/>
    <w:p>
      <w:pPr>
        <w:pStyle w:val="berschrift3"/>
      </w:pPr>
      <w:r>
        <w:t xml:space="preserve">RQ3: Authors..</w:t>
      </w:r>
    </w:p>
    <w:p>
      <w:pPr>
        <w:pStyle w:val="FirstParagraph"/>
      </w:pPr>
      <w:r>
        <w:t xml:space="preserve">We will first present:</w:t>
      </w:r>
    </w:p>
    <w:p>
      <w:pPr>
        <w:numPr>
          <w:ilvl w:val="0"/>
          <w:numId w:val="1006"/>
        </w:numPr>
        <w:pStyle w:val="Compact"/>
      </w:pPr>
      <w:r>
        <w:t xml:space="preserve">The total number of unique authors</w:t>
      </w:r>
    </w:p>
    <w:p>
      <w:pPr>
        <w:pStyle w:val="FirstParagraph"/>
      </w:pPr>
      <w:r>
        <w:t xml:space="preserve">The total number of unique authors across all publications was 257536.</w:t>
      </w:r>
    </w:p>
    <w:p>
      <w:pPr>
        <w:numPr>
          <w:ilvl w:val="0"/>
          <w:numId w:val="1007"/>
        </w:numPr>
        <w:pStyle w:val="Compact"/>
      </w:pPr>
      <w:r>
        <w:t xml:space="preserve">Statistics (mean, standard deviation, minimum, maximum, median) on</w:t>
      </w:r>
      <w:r>
        <w:t xml:space="preserve"> </w:t>
      </w:r>
      <w:r>
        <w:t xml:space="preserve">the number of authors included on publications.</w:t>
      </w:r>
    </w:p>
    <w:p>
      <w:pPr>
        <w:pStyle w:val="FirstParagraph"/>
      </w:pPr>
      <w:r>
        <w:t xml:space="preserve">The mean number of authors per publication was</w:t>
      </w:r>
      <w:r>
        <w:t xml:space="preserve"> </w:t>
      </w:r>
      <w:r>
        <w:rPr>
          <w:iCs/>
          <w:i/>
        </w:rPr>
        <w:t xml:space="preserve">M</w:t>
      </w:r>
      <w:r>
        <w:t xml:space="preserve"> </w:t>
      </w:r>
      <w:r>
        <w:t xml:space="preserve">= 49.90 (</w:t>
      </w:r>
      <w:r>
        <w:rPr>
          <w:iCs/>
          <w:i/>
        </w:rPr>
        <w:t xml:space="preserve">SD</w:t>
      </w:r>
      <w:r>
        <w:t xml:space="preserve"> </w:t>
      </w:r>
      <w:r>
        <w:t xml:space="preserve">= 207.01,</w:t>
      </w:r>
      <w:r>
        <w:t xml:space="preserve"> </w:t>
      </w:r>
      <w:r>
        <w:rPr>
          <w:iCs/>
          <w:i/>
        </w:rPr>
        <w:t xml:space="preserve">Med</w:t>
      </w:r>
      <w:r>
        <w:t xml:space="preserve"> </w:t>
      </w:r>
      <w:r>
        <w:t xml:space="preserve">= 19) with a range of 10 to 5155.</w:t>
      </w:r>
    </w:p>
    <w:p>
      <w:pPr>
        <w:numPr>
          <w:ilvl w:val="0"/>
          <w:numId w:val="1008"/>
        </w:numPr>
        <w:pStyle w:val="Compact"/>
      </w:pPr>
      <w:r>
        <w:t xml:space="preserve">We will present visualizations of these results across time.</w:t>
      </w:r>
    </w:p>
    <w:p>
      <w:pPr>
        <w:pStyle w:val="FirstParagraph"/>
      </w:pPr>
      <w:r>
        <w:drawing>
          <wp:inline>
            <wp:extent cx="5969000" cy="4775200"/>
            <wp:effectExtent b="0" l="0" r="0" t="0"/>
            <wp:docPr descr="" title="" id="67" name="Picture"/>
            <a:graphic>
              <a:graphicData uri="http://schemas.openxmlformats.org/drawingml/2006/picture">
                <pic:pic>
                  <pic:nvPicPr>
                    <pic:cNvPr descr="manuscript_scopus_files/figure-docx/unnamed-chunk-11-1.png" id="68"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We will use the 95% confidence interval to make all claims of predictors or effects different zero. The confidence interval that does not include zero would be considered different from zero (to four decimal places). We make no directional predictions.</w:t>
      </w:r>
    </w:p>
    <w:p>
      <w:pPr>
        <w:pStyle w:val="Textkrper"/>
      </w:pPr>
      <w:r>
        <w:rPr>
          <w:iCs/>
          <w:i/>
          <w:bCs/>
          <w:b/>
        </w:rPr>
        <w:t xml:space="preserve">Career Length</w:t>
      </w:r>
      <w:r>
        <w:t xml:space="preserve">.</w:t>
      </w:r>
    </w:p>
    <w:p>
      <w:pPr>
        <w:numPr>
          <w:ilvl w:val="0"/>
          <w:numId w:val="1009"/>
        </w:numPr>
        <w:pStyle w:val="Compact"/>
      </w:pPr>
      <w:r>
        <w:t xml:space="preserve">We will create a visualization of the trend and variance of</w:t>
      </w:r>
      <w:r>
        <w:t xml:space="preserve"> </w:t>
      </w:r>
      <w:r>
        <w:t xml:space="preserve">researcher career length across publication years.</w:t>
      </w:r>
    </w:p>
    <w:p>
      <w:pPr>
        <w:pStyle w:val="FirstParagraph"/>
      </w:pPr>
      <w:r>
        <w:drawing>
          <wp:inline>
            <wp:extent cx="5969000" cy="4775200"/>
            <wp:effectExtent b="0" l="0" r="0" t="0"/>
            <wp:docPr descr="" title="" id="70" name="Picture"/>
            <a:graphic>
              <a:graphicData uri="http://schemas.openxmlformats.org/drawingml/2006/picture">
                <pic:pic>
                  <pic:nvPicPr>
                    <pic:cNvPr descr="manuscript_scopus_files/figure-docx/unnamed-chunk-12-1.png" id="71" name="Picture"/>
                    <pic:cNvPicPr>
                      <a:picLocks noChangeArrowheads="1" noChangeAspect="1"/>
                    </pic:cNvPicPr>
                  </pic:nvPicPr>
                  <pic:blipFill>
                    <a:blip r:embed="rId69"/>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10"/>
        </w:numPr>
        <w:pStyle w:val="Compact"/>
      </w:pPr>
      <w:r>
        <w:t xml:space="preserve">To analyze trends over time, we will calculate the average career length for each publication (i.e., average the author career length to create one score for each paper) and run a regression analysis using career length to predict year of publication. In order to show variance between individuals, we calculate the standard deviation of career length for each publication and run a regression analysis using this variance representation to predict publication year. These two variables will be used together.</w:t>
      </w:r>
    </w:p>
    <w:p>
      <w:pPr>
        <w:numPr>
          <w:ilvl w:val="0"/>
          <w:numId w:val="1010"/>
        </w:numPr>
        <w:pStyle w:val="Compact"/>
      </w:pPr>
      <w:r>
        <w:t xml:space="preserve">Negative slopes would indicate more young scholars in later years (i.e., lower average career length as time increases). Positive slopes would indicate older scholars in later years (i.e., higher average career length as time increases).</w:t>
      </w:r>
    </w:p>
    <w:p>
      <w:pPr>
        <w:numPr>
          <w:ilvl w:val="0"/>
          <w:numId w:val="1010"/>
        </w:numPr>
        <w:pStyle w:val="Compact"/>
      </w:pPr>
      <w:r>
        <w:t xml:space="preserve">Negative slopes imply that variability decreases over the years, so the average career length is more homogeneous. Positive slopes imply that variability increases over the years, so the average career length is varied across individuals (lots of different types of scholars).</w:t>
      </w:r>
    </w:p>
    <w:p>
      <w:pPr>
        <w:numPr>
          <w:ilvl w:val="0"/>
          <w:numId w:val="1010"/>
        </w:numPr>
        <w:pStyle w:val="Compact"/>
      </w:pPr>
      <w:r>
        <w:t xml:space="preserve">These analyses will be completed separately for each of the four large subject areas.</w:t>
      </w:r>
    </w:p>
    <w:p>
      <w:pPr>
        <w:pStyle w:val="FirstParagraph"/>
      </w:pPr>
      <w:r>
        <w:drawing>
          <wp:inline>
            <wp:extent cx="5969000" cy="4775200"/>
            <wp:effectExtent b="0" l="0" r="0" t="0"/>
            <wp:docPr descr="" title="" id="73" name="Picture"/>
            <a:graphic>
              <a:graphicData uri="http://schemas.openxmlformats.org/drawingml/2006/picture">
                <pic:pic>
                  <pic:nvPicPr>
                    <pic:cNvPr descr="manuscript_scopus_files/figure-docx/unnamed-chunk-13-1.png" id="74" name="Picture"/>
                    <pic:cNvPicPr>
                      <a:picLocks noChangeArrowheads="1" noChangeAspect="1"/>
                    </pic:cNvPicPr>
                  </pic:nvPicPr>
                  <pic:blipFill>
                    <a:blip r:embed="rId72"/>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bCs/>
          <w:b/>
        </w:rPr>
        <w:t xml:space="preserve">Institution</w:t>
      </w:r>
      <w:r>
        <w:t xml:space="preserve">.</w:t>
      </w:r>
    </w:p>
    <w:p>
      <w:pPr>
        <w:numPr>
          <w:ilvl w:val="0"/>
          <w:numId w:val="1011"/>
        </w:numPr>
        <w:pStyle w:val="Compact"/>
      </w:pPr>
      <w:r>
        <w:t xml:space="preserve">We will summarize the number of affiliation ids present in BTS</w:t>
      </w:r>
      <w:r>
        <w:t xml:space="preserve"> </w:t>
      </w:r>
      <w:r>
        <w:t xml:space="preserve">publications by subject area and visualize these results across</w:t>
      </w:r>
      <w:r>
        <w:t xml:space="preserve"> </w:t>
      </w:r>
      <w:r>
        <w:t xml:space="preserve">time. These visualizations will be presented separately for each of</w:t>
      </w:r>
      <w:r>
        <w:t xml:space="preserve"> </w:t>
      </w:r>
      <w:r>
        <w:t xml:space="preserve">the four subject areas.</w:t>
      </w:r>
    </w:p>
    <w:p>
      <w:pPr>
        <w:pStyle w:val="FirstParagraph"/>
      </w:pPr>
      <w:r>
        <w:t xml:space="preserve">The total number of unique affiliation across all papers was 35114.</w:t>
      </w:r>
    </w:p>
    <w:p>
      <w:pPr>
        <w:pStyle w:val="SourceCode"/>
      </w:pPr>
      <w:r>
        <w:rPr>
          <w:rStyle w:val="VerbatimChar"/>
        </w:rPr>
        <w:t xml:space="preserve">## Warning: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p>
    <w:p>
      <w:pPr>
        <w:pStyle w:val="FirstParagraph"/>
      </w:pPr>
      <w:r>
        <w:drawing>
          <wp:inline>
            <wp:extent cx="5969000" cy="4775200"/>
            <wp:effectExtent b="0" l="0" r="0" t="0"/>
            <wp:docPr descr="" title="" id="76" name="Picture"/>
            <a:graphic>
              <a:graphicData uri="http://schemas.openxmlformats.org/drawingml/2006/picture">
                <pic:pic>
                  <pic:nvPicPr>
                    <pic:cNvPr descr="manuscript_scopus_files/figure-docx/unnamed-chunk-15-1.png" id="77" name="Picture"/>
                    <pic:cNvPicPr>
                      <a:picLocks noChangeArrowheads="1" noChangeAspect="1"/>
                    </pic:cNvPicPr>
                  </pic:nvPicPr>
                  <pic:blipFill>
                    <a:blip r:embed="rId75"/>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bCs/>
          <w:b/>
        </w:rPr>
        <w:t xml:space="preserve">Education</w:t>
      </w:r>
      <w:r>
        <w:t xml:space="preserve">.</w:t>
      </w:r>
    </w:p>
    <w:p>
      <w:pPr>
        <w:pStyle w:val="Textkrper"/>
      </w:pPr>
      <w:r>
        <w:t xml:space="preserve">We will summarize the general education categories of individuals at the time of publication, along with a summary for change over time.</w:t>
      </w:r>
    </w:p>
    <w:p>
      <w:pPr>
        <w:pStyle w:val="SourceCode"/>
      </w:pPr>
      <w:r>
        <w:rPr>
          <w:rStyle w:val="VerbatimChar"/>
        </w:rPr>
        <w:t xml:space="preserve">Figure out how messy this is for text processing requirements</w:t>
      </w:r>
      <w:r>
        <w:br/>
      </w:r>
      <w:r>
        <w:rPr>
          <w:rStyle w:val="VerbatimChar"/>
        </w:rPr>
        <w:t xml:space="preserve">For each publication, plot of proportion of doctorates across time - if the number is going down, we are involving more diverse types of people (assuming that doctorates are "normal" academics/researchers)</w:t>
      </w:r>
      <w:r>
        <w:br/>
      </w:r>
      <w:r>
        <w:rPr>
          <w:rStyle w:val="VerbatimChar"/>
        </w:rPr>
        <w:t xml:space="preserve">We will only perform this analysis if the proportion of information avaliable is over 50%.</w:t>
      </w:r>
    </w:p>
    <w:tbl>
      <w:tblPr>
        <w:tblStyle w:val="Table"/>
        <w:tblW w:type="pct" w:w="1319"/>
        <w:tblLook w:firstRow="0" w:lastRow="0" w:firstColumn="0" w:lastColumn="0" w:noHBand="0" w:noVBand="0" w:val="0000"/>
      </w:tblPr>
      <w:tblGrid>
        <w:gridCol w:w="1320"/>
        <w:gridCol w:w="770"/>
      </w:tblGrid>
      <w:tr>
        <w:tc>
          <w:tcPr/>
          <w:p>
            <w:pPr>
              <w:pStyle w:val="Compact"/>
              <w:jc w:val="left"/>
            </w:pPr>
            <w:r>
              <w:t xml:space="preserve">degrees</w:t>
            </w:r>
          </w:p>
        </w:tc>
        <w:tc>
          <w:tcPr/>
          <w:p>
            <w:pPr>
              <w:pStyle w:val="Compact"/>
              <w:jc w:val="left"/>
            </w:pPr>
            <w:r>
              <w:t xml:space="preserve">count</w:t>
            </w:r>
          </w:p>
        </w:tc>
      </w:tr>
      <w:tr>
        <w:tc>
          <w:tcPr/>
          <w:p>
            <w:pPr>
              <w:pStyle w:val="SourceCode"/>
              <w:jc w:val="left"/>
            </w:pPr>
            <w:r>
              <w:rPr>
                <w:rStyle w:val="VerbatimChar"/>
              </w:rPr>
              <w:t xml:space="preserve">   null</w:t>
            </w:r>
            <w:r>
              <w:br/>
            </w:r>
            <w:r>
              <w:rPr>
                <w:rStyle w:val="VerbatimChar"/>
              </w:rPr>
              <w:t xml:space="preserve">     MD</w:t>
            </w:r>
            <w:r>
              <w:br/>
            </w:r>
            <w:r>
              <w:rPr>
                <w:rStyle w:val="VerbatimChar"/>
              </w:rPr>
              <w:t xml:space="preserve">    PhD</w:t>
            </w:r>
            <w:r>
              <w:br/>
            </w:r>
            <w:r>
              <w:rPr>
                <w:rStyle w:val="VerbatimChar"/>
              </w:rPr>
              <w:t xml:space="preserve">MD, PhD</w:t>
            </w:r>
            <w:r>
              <w:br/>
            </w:r>
            <w:r>
              <w:rPr>
                <w:rStyle w:val="VerbatimChar"/>
              </w:rPr>
              <w:t xml:space="preserve">   M.D.</w:t>
            </w:r>
            <w:r>
              <w:br/>
            </w:r>
            <w:r>
              <w:rPr>
                <w:rStyle w:val="VerbatimChar"/>
              </w:rPr>
              <w:t xml:space="preserve">    Dr.</w:t>
            </w:r>
            <w:r>
              <w:br/>
            </w:r>
            <w:r>
              <w:rPr>
                <w:rStyle w:val="VerbatimChar"/>
              </w:rPr>
              <w:t xml:space="preserve">    MSc</w:t>
            </w:r>
            <w:r>
              <w:br/>
            </w:r>
            <w:r>
              <w:rPr>
                <w:rStyle w:val="VerbatimChar"/>
              </w:rPr>
              <w:t xml:space="preserve">    MPH</w:t>
            </w:r>
          </w:p>
          <w:p>
            <w:pPr>
              <w:jc w:val="left"/>
            </w:pPr>
            <w:r>
              <w:t xml:space="preserve">Prof., PhD</w:t>
            </w:r>
            <w:r>
              <w:t xml:space="preserve"> </w:t>
            </w:r>
            <w:r>
              <w:t xml:space="preserve">Ph.D.</w:t>
            </w:r>
            <w:r>
              <w:t xml:space="preserve"> </w:t>
            </w:r>
            <w:r>
              <w:t xml:space="preserve">MS</w:t>
            </w:r>
            <w:r>
              <w:t xml:space="preserve"> </w:t>
            </w:r>
            <w:r>
              <w:t xml:space="preserve">MD PhD</w:t>
            </w:r>
            <w:r>
              <w:t xml:space="preserve"> </w:t>
            </w:r>
            <w:r>
              <w:t xml:space="preserve">MD.</w:t>
            </w:r>
            <w:r>
              <w:t xml:space="preserve"> </w:t>
            </w:r>
            <w:r>
              <w:t xml:space="preserve">Prof. MD</w:t>
            </w:r>
            <w:r>
              <w:t xml:space="preserve"> </w:t>
            </w:r>
            <w:r>
              <w:t xml:space="preserve">Prof. PhD</w:t>
            </w:r>
            <w:r>
              <w:t xml:space="preserve"> </w:t>
            </w:r>
            <w:r>
              <w:t xml:space="preserve">BS</w:t>
            </w:r>
            <w:r>
              <w:t xml:space="preserve"> </w:t>
            </w:r>
            <w:r>
              <w:t xml:space="preserve">Prof</w:t>
            </w:r>
            <w:r>
              <w:t xml:space="preserve"> </w:t>
            </w:r>
            <w:r>
              <w:t xml:space="preserve">BA</w:t>
            </w:r>
            <w:r>
              <w:t xml:space="preserve"> </w:t>
            </w:r>
            <w:r>
              <w:t xml:space="preserve">M.D., Ph.D.</w:t>
            </w:r>
            <w:r>
              <w:t xml:space="preserve"> </w:t>
            </w:r>
            <w:r>
              <w:t xml:space="preserve">MD, MPH</w:t>
            </w:r>
          </w:p>
        </w:tc>
        <w:tc>
          <w:tcPr/>
          <w:p>
            <w:pPr>
              <w:pStyle w:val="Compact"/>
              <w:jc w:val="left"/>
            </w:pPr>
            <w:r>
              <w:t xml:space="preserve">656440</w:t>
            </w:r>
            <w:r>
              <w:t xml:space="preserve"> </w:t>
            </w:r>
            <w:r>
              <w:t xml:space="preserve">8190</w:t>
            </w:r>
            <w:r>
              <w:t xml:space="preserve"> </w:t>
            </w:r>
            <w:r>
              <w:t xml:space="preserve">3879</w:t>
            </w:r>
            <w:r>
              <w:t xml:space="preserve"> </w:t>
            </w:r>
            <w:r>
              <w:t xml:space="preserve">1267</w:t>
            </w:r>
            <w:r>
              <w:t xml:space="preserve"> </w:t>
            </w:r>
            <w:r>
              <w:t xml:space="preserve">1002</w:t>
            </w:r>
            <w:r>
              <w:t xml:space="preserve"> </w:t>
            </w:r>
            <w:r>
              <w:t xml:space="preserve">490</w:t>
            </w:r>
            <w:r>
              <w:t xml:space="preserve"> </w:t>
            </w:r>
            <w:r>
              <w:t xml:space="preserve">461</w:t>
            </w:r>
            <w:r>
              <w:t xml:space="preserve"> </w:t>
            </w:r>
            <w:r>
              <w:t xml:space="preserve">368</w:t>
            </w:r>
            <w:r>
              <w:t xml:space="preserve"> </w:t>
            </w:r>
            <w:r>
              <w:t xml:space="preserve">349</w:t>
            </w:r>
            <w:r>
              <w:t xml:space="preserve"> </w:t>
            </w:r>
            <w:r>
              <w:t xml:space="preserve">348</w:t>
            </w:r>
            <w:r>
              <w:t xml:space="preserve"> </w:t>
            </w:r>
            <w:r>
              <w:t xml:space="preserve">330</w:t>
            </w:r>
            <w:r>
              <w:t xml:space="preserve"> </w:t>
            </w:r>
            <w:r>
              <w:t xml:space="preserve">285</w:t>
            </w:r>
            <w:r>
              <w:t xml:space="preserve"> </w:t>
            </w:r>
            <w:r>
              <w:t xml:space="preserve">279</w:t>
            </w:r>
            <w:r>
              <w:t xml:space="preserve"> </w:t>
            </w:r>
            <w:r>
              <w:t xml:space="preserve">266</w:t>
            </w:r>
            <w:r>
              <w:t xml:space="preserve"> </w:t>
            </w:r>
            <w:r>
              <w:t xml:space="preserve">239</w:t>
            </w:r>
            <w:r>
              <w:t xml:space="preserve"> </w:t>
            </w:r>
            <w:r>
              <w:t xml:space="preserve">232</w:t>
            </w:r>
            <w:r>
              <w:t xml:space="preserve"> </w:t>
            </w:r>
            <w:r>
              <w:t xml:space="preserve">220</w:t>
            </w:r>
            <w:r>
              <w:t xml:space="preserve"> </w:t>
            </w:r>
            <w:r>
              <w:t xml:space="preserve">196</w:t>
            </w:r>
            <w:r>
              <w:t xml:space="preserve"> </w:t>
            </w:r>
            <w:r>
              <w:t xml:space="preserve">191</w:t>
            </w:r>
            <w:r>
              <w:t xml:space="preserve"> </w:t>
            </w:r>
            <w:r>
              <w:t xml:space="preserve">158</w:t>
            </w:r>
          </w:p>
        </w:tc>
      </w:tr>
    </w:tbl>
    <w:p>
      <w:pPr>
        <w:pStyle w:val="Textkrper"/>
      </w:pPr>
      <w:r>
        <w:rPr>
          <w:iCs/>
          <w:i/>
          <w:bCs/>
          <w:b/>
        </w:rPr>
        <w:t xml:space="preserve">Types of Publications</w:t>
      </w:r>
      <w:r>
        <w:t xml:space="preserve">.</w:t>
      </w:r>
    </w:p>
    <w:p>
      <w:pPr>
        <w:numPr>
          <w:ilvl w:val="0"/>
          <w:numId w:val="1012"/>
        </w:numPr>
        <w:pStyle w:val="Compact"/>
      </w:pPr>
      <w:r>
        <w:t xml:space="preserve">We will summarize the coded types of publications for individuals.</w:t>
      </w:r>
    </w:p>
    <w:p>
      <w:pPr>
        <w:pStyle w:val="FirstParagraph"/>
      </w:pPr>
      <w:r>
        <w:drawing>
          <wp:inline>
            <wp:extent cx="5969000" cy="4775200"/>
            <wp:effectExtent b="0" l="0" r="0" t="0"/>
            <wp:docPr descr="" title="" id="79" name="Picture"/>
            <a:graphic>
              <a:graphicData uri="http://schemas.openxmlformats.org/drawingml/2006/picture">
                <pic:pic>
                  <pic:nvPicPr>
                    <pic:cNvPr descr="manuscript_scopus_files/figure-docx/unnamed-chunk-16-1.png" id="80" name="Picture"/>
                    <pic:cNvPicPr>
                      <a:picLocks noChangeArrowheads="1" noChangeAspect="1"/>
                    </pic:cNvPicPr>
                  </pic:nvPicPr>
                  <pic:blipFill>
                    <a:blip r:embed="rId78"/>
                    <a:stretch>
                      <a:fillRect/>
                    </a:stretch>
                  </pic:blipFill>
                  <pic:spPr bwMode="auto">
                    <a:xfrm>
                      <a:off x="0" y="0"/>
                      <a:ext cx="5969000" cy="4775200"/>
                    </a:xfrm>
                    <a:prstGeom prst="rect">
                      <a:avLst/>
                    </a:prstGeom>
                    <a:noFill/>
                    <a:ln w="9525">
                      <a:noFill/>
                      <a:headEnd/>
                      <a:tailEnd/>
                    </a:ln>
                  </pic:spPr>
                </pic:pic>
              </a:graphicData>
            </a:graphic>
          </wp:inline>
        </w:drawing>
      </w:r>
    </w:p>
    <w:bookmarkEnd w:id="81"/>
    <w:bookmarkEnd w:id="82"/>
    <w:bookmarkEnd w:id="83"/>
    <w:bookmarkStart w:id="84" w:name="X9942b7510fbdf4aa258aace4d3476e739ca35ec"/>
    <w:p>
      <w:pPr>
        <w:pStyle w:val="berschrift1"/>
      </w:pPr>
      <w:r>
        <w:t xml:space="preserve">can probably figure out how to combine these feasibly to make it readable</w:t>
      </w:r>
    </w:p>
    <w:bookmarkEnd w:id="84"/>
    <w:bookmarkStart w:id="115" w:name="Xe7a1437775fa49ed143cfb7b297addf34a5987e"/>
    <w:p>
      <w:pPr>
        <w:pStyle w:val="berschrift1"/>
      </w:pPr>
      <w:r>
        <w:t xml:space="preserve">ab Abstract Report, ar Article, ip Article in Press, bk Book, bz Business Article, ch Book Chapter, cp Conference Paper, cr Conference Review, dp Data paper, ed Editorial, er Erratum, le Letter, no Note, pp Preprint, pr Press Release, rp Report, re Review, sh Survey, tb Retracted.</w:t>
      </w:r>
    </w:p>
    <w:p>
      <w:pPr>
        <w:pStyle w:val="FirstParagraph"/>
      </w:pPr>
      <w:r>
        <w:rPr>
          <w:iCs/>
          <w:i/>
          <w:bCs/>
          <w:b/>
        </w:rPr>
        <w:t xml:space="preserve">Publication Metrics</w:t>
      </w:r>
      <w:r>
        <w:t xml:space="preserve">.</w:t>
      </w:r>
    </w:p>
    <w:p>
      <w:pPr>
        <w:numPr>
          <w:ilvl w:val="0"/>
          <w:numId w:val="1013"/>
        </w:numPr>
        <w:pStyle w:val="Compact"/>
      </w:pPr>
      <w:r>
        <w:t xml:space="preserve">We will report descriptive statistics on the total number of publications and h-index for individuals overall.</w:t>
      </w:r>
    </w:p>
    <w:p>
      <w:pPr>
        <w:numPr>
          <w:ilvl w:val="1"/>
          <w:numId w:val="1014"/>
        </w:numPr>
        <w:pStyle w:val="Compact"/>
      </w:pPr>
      <w:r>
        <w:t xml:space="preserve">Do this for each unique person and report averages</w:t>
      </w:r>
    </w:p>
    <w:p>
      <w:pPr>
        <w:numPr>
          <w:ilvl w:val="1"/>
          <w:numId w:val="1014"/>
        </w:numPr>
        <w:pStyle w:val="Compact"/>
      </w:pPr>
      <w:r>
        <w:t xml:space="preserve">Do this for each publication and create an average for each publication</w:t>
      </w:r>
    </w:p>
    <w:p>
      <w:pPr>
        <w:pStyle w:val="FirstParagraph"/>
      </w:pPr>
      <w:r>
        <w:t xml:space="preserve">The average number of publications by authors on big team sciences papers is</w:t>
      </w:r>
      <w:r>
        <w:t xml:space="preserve"> </w:t>
      </w:r>
      <w:r>
        <w:rPr>
          <w:iCs/>
          <w:i/>
        </w:rPr>
        <w:t xml:space="preserve">M</w:t>
      </w:r>
      <w:r>
        <w:t xml:space="preserve"> </w:t>
      </w:r>
      <w:r>
        <w:t xml:space="preserve">= 4.45 (</w:t>
      </w:r>
      <w:r>
        <w:rPr>
          <w:iCs/>
          <w:i/>
        </w:rPr>
        <w:t xml:space="preserve">SD</w:t>
      </w:r>
      <w:r>
        <w:t xml:space="preserve"> </w:t>
      </w:r>
      <w:r>
        <w:t xml:space="preserve">= 6.90). The publication counts were averaged across authors for each publication, and then these average publication counts were averaged across publications</w:t>
      </w:r>
      <w:r>
        <w:t xml:space="preserve"> </w:t>
      </w:r>
      <w:r>
        <w:rPr>
          <w:iCs/>
          <w:i/>
        </w:rPr>
        <w:t xml:space="preserve">M</w:t>
      </w:r>
      <w:r>
        <w:t xml:space="preserve"> </w:t>
      </w:r>
      <w:r>
        <w:t xml:space="preserve">= 7.58 (</w:t>
      </w:r>
      <w:r>
        <w:rPr>
          <w:iCs/>
          <w:i/>
        </w:rPr>
        <w:t xml:space="preserve">SD</w:t>
      </w:r>
      <w:r>
        <w:t xml:space="preserve"> </w:t>
      </w:r>
      <w:r>
        <w:t xml:space="preserve">= 5.80). The average variability (i.e., the average standard deviation with authors of a manuscript) with publication counts of a paper was</w:t>
      </w:r>
      <w:r>
        <w:t xml:space="preserve"> </w:t>
      </w:r>
      <m:oMath>
        <m:sSub>
          <m:e>
            <m:r>
              <m:t>M</m:t>
            </m:r>
          </m:e>
          <m:sub>
            <m:r>
              <m:t>S</m:t>
            </m:r>
            <m:r>
              <m:t>D</m:t>
            </m:r>
          </m:sub>
        </m:sSub>
      </m:oMath>
      <w:r>
        <w:t xml:space="preserve"> </w:t>
      </w:r>
      <w:r>
        <w:t xml:space="preserve">= 7.14 (</w:t>
      </w:r>
      <m:oMath>
        <m:r>
          <m:t>S</m:t>
        </m:r>
        <m:sSub>
          <m:e>
            <m:r>
              <m:t>D</m:t>
            </m:r>
          </m:e>
          <m:sub>
            <m:r>
              <m:t>S</m:t>
            </m:r>
            <m:r>
              <m:t>D</m:t>
            </m:r>
          </m:sub>
        </m:sSub>
      </m:oMath>
      <w:r>
        <w:t xml:space="preserve"> </w:t>
      </w:r>
      <w:r>
        <w:t xml:space="preserve">= 5.10).</w:t>
      </w:r>
    </w:p>
    <w:p>
      <w:pPr>
        <w:pStyle w:val="Textkrper"/>
      </w:pPr>
      <w:r>
        <w:t xml:space="preserve">The same process was completed with</w:t>
      </w:r>
      <w:r>
        <w:t xml:space="preserve"> </w:t>
      </w:r>
      <w:r>
        <w:rPr>
          <w:iCs/>
          <w:i/>
        </w:rPr>
        <w:t xml:space="preserve">h</w:t>
      </w:r>
      <w:r>
        <w:t xml:space="preserve">-index for each author and 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 14.24 (</w:t>
      </w:r>
      <w:r>
        <w:rPr>
          <w:iCs/>
          <w:i/>
        </w:rPr>
        <w:t xml:space="preserve">SD</w:t>
      </w:r>
      <w:r>
        <w:t xml:space="preserve"> </w:t>
      </w:r>
      <w:r>
        <w:t xml:space="preserve">= 43.80,</w:t>
      </w:r>
      <w:r>
        <w:t xml:space="preserve"> </w:t>
      </w:r>
      <w:r>
        <w:rPr>
          <w:iCs/>
          <w:i/>
        </w:rPr>
        <w:t xml:space="preserve">Med</w:t>
      </w:r>
      <w:r>
        <w:t xml:space="preserve"> </w:t>
      </w:r>
      <w:r>
        <w:t xml:space="preserve">= 2.00). The average</w:t>
      </w:r>
      <w:r>
        <w:t xml:space="preserve"> </w:t>
      </w:r>
      <w:r>
        <w:rPr>
          <w:iCs/>
          <w:i/>
        </w:rPr>
        <w:t xml:space="preserve">h</w:t>
      </w:r>
      <w:r>
        <w:t xml:space="preserve">-index for publications was</w:t>
      </w:r>
      <w:r>
        <w:t xml:space="preserve"> </w:t>
      </w:r>
      <w:r>
        <w:rPr>
          <w:iCs/>
          <w:i/>
        </w:rPr>
        <w:t xml:space="preserve">M</w:t>
      </w:r>
      <w:r>
        <w:t xml:space="preserve"> </w:t>
      </w:r>
      <w:r>
        <w:t xml:space="preserve">= 28.14 (</w:t>
      </w:r>
      <w:r>
        <w:rPr>
          <w:iCs/>
          <w:i/>
        </w:rPr>
        <w:t xml:space="preserve">SD</w:t>
      </w:r>
      <w:r>
        <w:t xml:space="preserve"> </w:t>
      </w:r>
      <w:r>
        <w:t xml:space="preserve">= 38.01), and the variability of</w:t>
      </w:r>
      <w:r>
        <w:t xml:space="preserve"> </w:t>
      </w:r>
      <w:r>
        <w:rPr>
          <w:iCs/>
          <w:i/>
        </w:rPr>
        <w:t xml:space="preserve">h</w:t>
      </w:r>
      <w:r>
        <w:t xml:space="preserve">-index across manuscripts was</w:t>
      </w:r>
      <w:r>
        <w:t xml:space="preserve"> </w:t>
      </w:r>
      <m:oMath>
        <m:sSub>
          <m:e>
            <m:r>
              <m:t>M</m:t>
            </m:r>
          </m:e>
          <m:sub>
            <m:r>
              <m:t>S</m:t>
            </m:r>
            <m:r>
              <m:t>D</m:t>
            </m:r>
          </m:sub>
        </m:sSub>
      </m:oMath>
      <w:r>
        <w:t xml:space="preserve"> </w:t>
      </w:r>
      <w:r>
        <w:t xml:space="preserve">= 36.43 (</w:t>
      </w:r>
      <m:oMath>
        <m:r>
          <m:t>S</m:t>
        </m:r>
        <m:sSub>
          <m:e>
            <m:r>
              <m:t>D</m:t>
            </m:r>
          </m:e>
          <m:sub>
            <m:r>
              <m:t>S</m:t>
            </m:r>
            <m:r>
              <m:t>D</m:t>
            </m:r>
          </m:sub>
        </m:sSub>
      </m:oMath>
      <w:r>
        <w:t xml:space="preserve"> </w:t>
      </w:r>
      <w:r>
        <w:t xml:space="preserve">= 46.47,</w:t>
      </w:r>
      <w:r>
        <w:t xml:space="preserve"> </w:t>
      </w:r>
      <m:oMath>
        <m:r>
          <m:t>M</m:t>
        </m:r>
        <m:r>
          <m:t>e</m:t>
        </m:r>
        <m:sSub>
          <m:e>
            <m:r>
              <m:t>d</m:t>
            </m:r>
          </m:e>
          <m:sub>
            <m:r>
              <m:t>M</m:t>
            </m:r>
            <m:r>
              <m:t>e</m:t>
            </m:r>
            <m:r>
              <m:t>d</m:t>
            </m:r>
          </m:sub>
        </m:sSub>
      </m:oMath>
      <w:r>
        <w:t xml:space="preserve"> </w:t>
      </w:r>
      <w:r>
        <w:t xml:space="preserve">= 5.00).</w:t>
      </w:r>
    </w:p>
    <w:p>
      <w:pPr>
        <w:numPr>
          <w:ilvl w:val="0"/>
          <w:numId w:val="1015"/>
        </w:numPr>
        <w:pStyle w:val="Compact"/>
      </w:pPr>
      <w:r>
        <w:t xml:space="preserve">Next, we will use the same analyses described in the career length section to analyze trends over time. An increasing slope over time indicates that individuals who are publishing more are more represented in BTS over time (i.e., increasing numbers of scholars with higher publication rates), while a negative slope indicates more researchers with less publications.</w:t>
      </w:r>
    </w:p>
    <w:p>
      <w:pPr>
        <w:numPr>
          <w:ilvl w:val="0"/>
          <w:numId w:val="1015"/>
        </w:numPr>
        <w:pStyle w:val="Compact"/>
      </w:pPr>
      <w:r>
        <w:t xml:space="preserve">A positive slope for standard deviation indicates increasing variance over time (i.e., more diversity in the individual publication rates), while a negative slope would indicate less diversity in researchers over time. While publication rates do not represent value as a researcher, they are often used in hiring and promotion decisions, and we will use this variable as a proxy to gauge the diversity in scholars represented in big teams.</w:t>
      </w:r>
    </w:p>
    <w:p>
      <w:pPr>
        <w:numPr>
          <w:ilvl w:val="0"/>
          <w:numId w:val="1015"/>
        </w:numPr>
        <w:pStyle w:val="Compact"/>
      </w:pPr>
      <w:r>
        <w:t xml:space="preserve">We will separate these by each of the four subject areas.</w:t>
      </w:r>
    </w:p>
    <w:p>
      <w:pPr>
        <w:pStyle w:val="FirstParagraph"/>
      </w:pPr>
      <w:r>
        <w:drawing>
          <wp:inline>
            <wp:extent cx="5969000" cy="4775200"/>
            <wp:effectExtent b="0" l="0" r="0" t="0"/>
            <wp:docPr descr="" title="" id="86" name="Picture"/>
            <a:graphic>
              <a:graphicData uri="http://schemas.openxmlformats.org/drawingml/2006/picture">
                <pic:pic>
                  <pic:nvPicPr>
                    <pic:cNvPr descr="manuscript_scopus_files/figure-docx/unnamed-chunk-18-1.png" id="87" name="Picture"/>
                    <pic:cNvPicPr>
                      <a:picLocks noChangeArrowheads="1" noChangeAspect="1"/>
                    </pic:cNvPicPr>
                  </pic:nvPicPr>
                  <pic:blipFill>
                    <a:blip r:embed="rId85"/>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bCs/>
          <w:b/>
        </w:rPr>
        <w:t xml:space="preserve">Geopolitical Regions</w:t>
      </w:r>
      <w:r>
        <w:t xml:space="preserve">.</w:t>
      </w:r>
    </w:p>
    <w:p>
      <w:pPr>
        <w:numPr>
          <w:ilvl w:val="0"/>
          <w:numId w:val="1016"/>
        </w:numPr>
        <w:pStyle w:val="Compact"/>
      </w:pPr>
      <w:r>
        <w:t xml:space="preserve">We will present visualizations of the country information listed for</w:t>
      </w:r>
      <w:r>
        <w:t xml:space="preserve"> </w:t>
      </w:r>
      <w:r>
        <w:t xml:space="preserve">authors, and we will discuss the areas of world in which authors</w:t>
      </w:r>
      <w:r>
        <w:t xml:space="preserve"> </w:t>
      </w:r>
      <w:r>
        <w:t xml:space="preserve">generally come from, as well as the lowest representation of</w:t>
      </w:r>
      <w:r>
        <w:t xml:space="preserve"> </w:t>
      </w:r>
      <w:r>
        <w:t xml:space="preserve">authors.</w:t>
      </w:r>
    </w:p>
    <w:p>
      <w:pPr>
        <w:pStyle w:val="FirstParagraph"/>
      </w:pPr>
      <w:r>
        <w:drawing>
          <wp:inline>
            <wp:extent cx="5969000" cy="4775200"/>
            <wp:effectExtent b="0" l="0" r="0" t="0"/>
            <wp:docPr descr="" title="" id="89" name="Picture"/>
            <a:graphic>
              <a:graphicData uri="http://schemas.openxmlformats.org/drawingml/2006/picture">
                <pic:pic>
                  <pic:nvPicPr>
                    <pic:cNvPr descr="manuscript_scopus_files/figure-docx/geo-map-1.png" id="90" name="Picture"/>
                    <pic:cNvPicPr>
                      <a:picLocks noChangeArrowheads="1" noChangeAspect="1"/>
                    </pic:cNvPicPr>
                  </pic:nvPicPr>
                  <pic:blipFill>
                    <a:blip r:embed="rId88"/>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92" name="Picture"/>
            <a:graphic>
              <a:graphicData uri="http://schemas.openxmlformats.org/drawingml/2006/picture">
                <pic:pic>
                  <pic:nvPicPr>
                    <pic:cNvPr descr="manuscript_scopus_files/figure-docx/geo-map-2.png" id="93" name="Picture"/>
                    <pic:cNvPicPr>
                      <a:picLocks noChangeArrowheads="1" noChangeAspect="1"/>
                    </pic:cNvPicPr>
                  </pic:nvPicPr>
                  <pic:blipFill>
                    <a:blip r:embed="rId91"/>
                    <a:stretch>
                      <a:fillRect/>
                    </a:stretch>
                  </pic:blipFill>
                  <pic:spPr bwMode="auto">
                    <a:xfrm>
                      <a:off x="0" y="0"/>
                      <a:ext cx="5969000" cy="4775200"/>
                    </a:xfrm>
                    <a:prstGeom prst="rect">
                      <a:avLst/>
                    </a:prstGeom>
                    <a:noFill/>
                    <a:ln w="9525">
                      <a:noFill/>
                      <a:headEnd/>
                      <a:tailEnd/>
                    </a:ln>
                  </pic:spPr>
                </pic:pic>
              </a:graphicData>
            </a:graphic>
          </wp:inline>
        </w:drawing>
      </w:r>
    </w:p>
    <w:p>
      <w:pPr>
        <w:pStyle w:val="SourceCode"/>
      </w:pPr>
      <w:r>
        <w:rPr>
          <w:rStyle w:val="VerbatimChar"/>
        </w:rPr>
        <w:t xml:space="preserve">## Warning in countrycode_convert(sourcevar = sourcevar, origin = origin, destination = dest, : Some values were not matched unambiguously: ANT, EUE, TWN</w:t>
      </w:r>
      <w:r>
        <w:br/>
      </w:r>
      <w:r>
        <w:br/>
      </w:r>
      <w:r>
        <w:rPr>
          <w:rStyle w:val="VerbatimChar"/>
        </w:rPr>
        <w:t xml:space="preserve">## Warning in countrycode_convert(sourcevar = sourcevar, origin = origin, destination = dest, : Some values were not matched unambiguously: ANT, EUE, TWN</w:t>
      </w:r>
    </w:p>
    <w:p>
      <w:pPr>
        <w:pStyle w:val="FirstParagraph"/>
      </w:pPr>
      <w:r>
        <w:drawing>
          <wp:inline>
            <wp:extent cx="5969000" cy="4775200"/>
            <wp:effectExtent b="0" l="0" r="0" t="0"/>
            <wp:docPr descr="" title="" id="95" name="Picture"/>
            <a:graphic>
              <a:graphicData uri="http://schemas.openxmlformats.org/drawingml/2006/picture">
                <pic:pic>
                  <pic:nvPicPr>
                    <pic:cNvPr descr="manuscript_scopus_files/figure-docx/geo-map-3.png" id="96" name="Picture"/>
                    <pic:cNvPicPr>
                      <a:picLocks noChangeArrowheads="1" noChangeAspect="1"/>
                    </pic:cNvPicPr>
                  </pic:nvPicPr>
                  <pic:blipFill>
                    <a:blip r:embed="rId94"/>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98" name="Picture"/>
            <a:graphic>
              <a:graphicData uri="http://schemas.openxmlformats.org/drawingml/2006/picture">
                <pic:pic>
                  <pic:nvPicPr>
                    <pic:cNvPr descr="manuscript_scopus_files/figure-docx/geo-map-all-1.png" id="99" name="Picture"/>
                    <pic:cNvPicPr>
                      <a:picLocks noChangeArrowheads="1" noChangeAspect="1"/>
                    </pic:cNvPicPr>
                  </pic:nvPicPr>
                  <pic:blipFill>
                    <a:blip r:embed="rId97"/>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01" name="Picture"/>
            <a:graphic>
              <a:graphicData uri="http://schemas.openxmlformats.org/drawingml/2006/picture">
                <pic:pic>
                  <pic:nvPicPr>
                    <pic:cNvPr descr="manuscript_scopus_files/figure-docx/geo-map-all-2.png" id="102" name="Picture"/>
                    <pic:cNvPicPr>
                      <a:picLocks noChangeArrowheads="1" noChangeAspect="1"/>
                    </pic:cNvPicPr>
                  </pic:nvPicPr>
                  <pic:blipFill>
                    <a:blip r:embed="rId100"/>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04" name="Picture"/>
            <a:graphic>
              <a:graphicData uri="http://schemas.openxmlformats.org/drawingml/2006/picture">
                <pic:pic>
                  <pic:nvPicPr>
                    <pic:cNvPr descr="manuscript_scopus_files/figure-docx/geo-map-all-3.png" id="105" name="Picture"/>
                    <pic:cNvPicPr>
                      <a:picLocks noChangeArrowheads="1" noChangeAspect="1"/>
                    </pic:cNvPicPr>
                  </pic:nvPicPr>
                  <pic:blipFill>
                    <a:blip r:embed="rId103"/>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17"/>
        </w:numPr>
        <w:pStyle w:val="Compact"/>
      </w:pPr>
      <w:r>
        <w:t xml:space="preserve">To understand the change in representation diversity, we will</w:t>
      </w:r>
      <w:r>
        <w:t xml:space="preserve"> </w:t>
      </w:r>
      <w:r>
        <w:t xml:space="preserve">summarize the total number of geopolitical regions for each paper.</w:t>
      </w:r>
      <w:r>
        <w:t xml:space="preserve"> </w:t>
      </w:r>
      <w:r>
        <w:t xml:space="preserve">Using a linear model, we will examine if the number of regions</w:t>
      </w:r>
      <w:r>
        <w:t xml:space="preserve"> </w:t>
      </w:r>
      <w:r>
        <w:t xml:space="preserve">present is predicted by the year of publication. Increasing</w:t>
      </w:r>
      <w:r>
        <w:t xml:space="preserve"> </w:t>
      </w:r>
      <w:r>
        <w:t xml:space="preserve">diversity would be represented by a positive slope, while decreasing</w:t>
      </w:r>
      <w:r>
        <w:t xml:space="preserve"> </w:t>
      </w:r>
      <w:r>
        <w:t xml:space="preserve">diversity would be represented by a negative slope.</w:t>
      </w:r>
    </w:p>
    <w:p>
      <w:pPr>
        <w:pStyle w:val="FirstParagraph"/>
      </w:pPr>
      <w:r>
        <w:drawing>
          <wp:inline>
            <wp:extent cx="5969000" cy="4775200"/>
            <wp:effectExtent b="0" l="0" r="0" t="0"/>
            <wp:docPr descr="" title="" id="107" name="Picture"/>
            <a:graphic>
              <a:graphicData uri="http://schemas.openxmlformats.org/drawingml/2006/picture">
                <pic:pic>
                  <pic:nvPicPr>
                    <pic:cNvPr descr="manuscript_scopus_files/figure-docx/unnamed-chunk-19-1.png" id="108" name="Picture"/>
                    <pic:cNvPicPr>
                      <a:picLocks noChangeArrowheads="1" noChangeAspect="1"/>
                    </pic:cNvPicPr>
                  </pic:nvPicPr>
                  <pic:blipFill>
                    <a:blip r:embed="rId106"/>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18"/>
        </w:numPr>
        <w:pStyle w:val="Compact"/>
      </w:pPr>
      <w:r>
        <w:t xml:space="preserve">Last, we will examine the differences in representation for</w:t>
      </w:r>
      <w:r>
        <w:t xml:space="preserve"> </w:t>
      </w:r>
      <w:r>
        <w:t xml:space="preserve">corresponding author sets versus all other authors. For papers with</w:t>
      </w:r>
      <w:r>
        <w:t xml:space="preserve"> </w:t>
      </w:r>
      <w:r>
        <w:t xml:space="preserve">10 to 49 authors, we will use the three first authors and the last</w:t>
      </w:r>
      <w:r>
        <w:t xml:space="preserve"> </w:t>
      </w:r>
      <w:r>
        <w:t xml:space="preserve">author to compare against other authors. For 50 to 99 authors, five</w:t>
      </w:r>
      <w:r>
        <w:t xml:space="preserve"> </w:t>
      </w:r>
      <w:r>
        <w:t xml:space="preserve">first authors plus last will be used, and for all papers with more</w:t>
      </w:r>
      <w:r>
        <w:t xml:space="preserve"> </w:t>
      </w:r>
      <w:r>
        <w:t xml:space="preserve">than 100 authors, we will use ten first authors and the last author.</w:t>
      </w:r>
      <w:r>
        <w:t xml:space="preserve"> </w:t>
      </w:r>
      <w:r>
        <w:t xml:space="preserve">We will calculate the frequencies of each of the UN Sub-Regions for</w:t>
      </w:r>
      <w:r>
        <w:t xml:space="preserve"> </w:t>
      </w:r>
      <w:r>
        <w:t xml:space="preserve">first authors versus other authors, converting these values to</w:t>
      </w:r>
      <w:r>
        <w:t xml:space="preserve"> </w:t>
      </w:r>
      <w:r>
        <w:t xml:space="preserve">proportions. Given the expected small sample sizes of these</w:t>
      </w:r>
      <w:r>
        <w:t xml:space="preserve"> </w:t>
      </w:r>
      <w:r>
        <w:t xml:space="preserve">contingency tables, we will group together titles based on the year</w:t>
      </w:r>
      <w:r>
        <w:t xml:space="preserve"> </w:t>
      </w:r>
      <w:r>
        <w:t xml:space="preserve">of publication (assuming at least 5 publications per year, these may</w:t>
      </w:r>
      <w:r>
        <w:t xml:space="preserve"> </w:t>
      </w:r>
      <w:r>
        <w:t xml:space="preserve">be binned by 5-year or smaller increments to increase sample size).</w:t>
      </w:r>
      <w:r>
        <w:t xml:space="preserve"> </w:t>
      </w:r>
      <w:r>
        <w:t xml:space="preserve">For each grouping, we will calculate the effect size of the</w:t>
      </w:r>
      <w:r>
        <w:t xml:space="preserve"> </w:t>
      </w:r>
      <w:r>
        <w:t xml:space="preserve">differences in frequencies comparing first authors to all other</w:t>
      </w:r>
      <w:r>
        <w:t xml:space="preserve"> </w:t>
      </w:r>
      <w:r>
        <w:t xml:space="preserve">authors. Since this data is categorical, we will use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this result will imply that first and all other</w:t>
      </w:r>
      <w:r>
        <w:t xml:space="preserve"> </w:t>
      </w:r>
      <w:r>
        <w:t xml:space="preserve">authors represent the same pattern of UN Sub-Region diversity. Any</w:t>
      </w:r>
      <w:r>
        <w:t xml:space="preserve"> </w:t>
      </w:r>
      <w:r>
        <w:t xml:space="preserve">confidence interval that does include zero represents a difference</w:t>
      </w:r>
      <w:r>
        <w:t xml:space="preserve"> </w:t>
      </w:r>
      <w:r>
        <w:t xml:space="preserve">in diversity.</w:t>
      </w:r>
    </w:p>
    <w:p>
      <w:pPr>
        <w:pStyle w:val="FirstParagraph"/>
      </w:pPr>
      <w:r>
        <w:drawing>
          <wp:inline>
            <wp:extent cx="5969000" cy="4775200"/>
            <wp:effectExtent b="0" l="0" r="0" t="0"/>
            <wp:docPr descr="" title="" id="110" name="Picture"/>
            <a:graphic>
              <a:graphicData uri="http://schemas.openxmlformats.org/drawingml/2006/picture">
                <pic:pic>
                  <pic:nvPicPr>
                    <pic:cNvPr descr="manuscript_scopus_files/figure-docx/author-gpe-figure-1.png" id="111" name="Picture"/>
                    <pic:cNvPicPr>
                      <a:picLocks noChangeArrowheads="1" noChangeAspect="1"/>
                    </pic:cNvPicPr>
                  </pic:nvPicPr>
                  <pic:blipFill>
                    <a:blip r:embed="rId109"/>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113" name="Picture"/>
            <a:graphic>
              <a:graphicData uri="http://schemas.openxmlformats.org/drawingml/2006/picture">
                <pic:pic>
                  <pic:nvPicPr>
                    <pic:cNvPr descr="manuscript_scopus_files/figure-docx/effect-gpe-figure-1.png" id="114" name="Picture"/>
                    <pic:cNvPicPr>
                      <a:picLocks noChangeArrowheads="1" noChangeAspect="1"/>
                    </pic:cNvPicPr>
                  </pic:nvPicPr>
                  <pic:blipFill>
                    <a:blip r:embed="rId112"/>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end up with a list of effect sizes by year by small medium large</w:t>
      </w:r>
      <w:r>
        <w:t xml:space="preserve"> </w:t>
      </w:r>
      <w:r>
        <w:t xml:space="preserve">x axis is year</w:t>
      </w:r>
      <w:r>
        <w:t xml:space="preserve"> </w:t>
      </w:r>
      <w:r>
        <w:t xml:space="preserve">y axis is the effect size and the confidence interval</w:t>
      </w:r>
      <w:r>
        <w:t xml:space="preserve"> </w:t>
      </w:r>
      <w:r>
        <w:t xml:space="preserve">if diversity is increasing then the patterns would be more similar (effect size of zero)</w:t>
      </w:r>
      <w:r>
        <w:t xml:space="preserve"> </w:t>
      </w:r>
      <w:r>
        <w:t xml:space="preserve">if diversity is not increasing then the patterns would be different (effect size does not include zero)</w:t>
      </w:r>
    </w:p>
    <w:p>
      <w:pPr>
        <w:pStyle w:val="Textkrper"/>
      </w:pPr>
      <w:r>
        <w:t xml:space="preserve">who is not represented in the</w:t>
      </w:r>
      <w:r>
        <w:t xml:space="preserve"> </w:t>
      </w:r>
      <w:r>
        <w:t xml:space="preserve">“</w:t>
      </w:r>
      <w:r>
        <w:t xml:space="preserve">corresponding</w:t>
      </w:r>
      <w:r>
        <w:t xml:space="preserve">”</w:t>
      </w:r>
      <w:r>
        <w:t xml:space="preserve"> </w:t>
      </w:r>
      <w:r>
        <w:t xml:space="preserve">spots - proportion chart by decades stacked bar chart of the decades</w:t>
      </w:r>
    </w:p>
    <w:p>
      <w:r>
        <w:br w:type="page"/>
      </w:r>
    </w:p>
    <w:bookmarkEnd w:id="115"/>
    <w:bookmarkStart w:id="210" w:name="references"/>
    <w:p>
      <w:pPr>
        <w:pStyle w:val="berschrift1"/>
      </w:pPr>
      <w:r>
        <w:t xml:space="preserve">References</w:t>
      </w:r>
    </w:p>
    <w:bookmarkStart w:id="209" w:name="refs"/>
    <w:bookmarkStart w:id="117"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116">
        <w:r>
          <w:rPr>
            <w:rStyle w:val="Hyperlink"/>
          </w:rPr>
          <w:t xml:space="preserve">https://doi.org/10.1038/s41567-021-01278-0</w:t>
        </w:r>
      </w:hyperlink>
    </w:p>
    <w:bookmarkEnd w:id="117"/>
    <w:bookmarkStart w:id="119"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118">
        <w:r>
          <w:rPr>
            <w:rStyle w:val="Hyperlink"/>
          </w:rPr>
          <w:t xml:space="preserve">https://doi.org/10.1002/leap.1210</w:t>
        </w:r>
      </w:hyperlink>
    </w:p>
    <w:bookmarkEnd w:id="119"/>
    <w:bookmarkStart w:id="120"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120"/>
    <w:bookmarkStart w:id="122" w:name="ref-bago2022"/>
    <w:p>
      <w:pPr>
        <w:pStyle w:val="Literaturverzeichnis"/>
      </w:pPr>
      <w:r>
        <w:t xml:space="preserve">Bago, B., Kovacs, M., Protzko, J., Nagy, T., Kekecs, Z., Palfi, B., Adamkovic, M., Adamus, S., Albalooshi, S., Albayrak-Aydemir, N., Alfian, I. N., Alper, S., Alvarez-Solas, S., Alves, S. G., Amaya, S., Andresen, P. K., Anjum, G., Ansari, D., Arriaga, P.,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121">
        <w:r>
          <w:rPr>
            <w:rStyle w:val="Hyperlink"/>
          </w:rPr>
          <w:t xml:space="preserve">https://doi.org/10.1038/s41562-022-01319-5</w:t>
        </w:r>
      </w:hyperlink>
    </w:p>
    <w:bookmarkEnd w:id="122"/>
    <w:bookmarkStart w:id="124" w:name="ref-buttrick2020"/>
    <w:p>
      <w:pPr>
        <w:pStyle w:val="Literaturverzeichnis"/>
      </w:pPr>
      <w:r>
        <w:t xml:space="preserve">Buttrick, N. R., Aczel, B., Aeschbach, L. F., Bakos, B. E., Brühlmann, F., Claypool, H. M., Hüffmeier, J., Kovacs, M., Schuepfer, K., Szecsi, P., Szuts, A., Szöke, O., Thomae, M., Torka, A.-K., Walker, R. J., &amp;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123">
        <w:r>
          <w:rPr>
            <w:rStyle w:val="Hyperlink"/>
          </w:rPr>
          <w:t xml:space="preserve">https://doi.org/10.1177/2515245920917931</w:t>
        </w:r>
      </w:hyperlink>
    </w:p>
    <w:bookmarkEnd w:id="124"/>
    <w:bookmarkStart w:id="126"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125">
        <w:r>
          <w:rPr>
            <w:rStyle w:val="Hyperlink"/>
          </w:rPr>
          <w:t xml:space="preserve">https://doi.org/10.1016/j.respol.2018.06.018</w:t>
        </w:r>
      </w:hyperlink>
    </w:p>
    <w:bookmarkEnd w:id="126"/>
    <w:bookmarkStart w:id="128"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127">
        <w:r>
          <w:rPr>
            <w:rStyle w:val="Hyperlink"/>
          </w:rPr>
          <w:t xml:space="preserve">https://doi.org/10.1038/d41586-022-00150-2</w:t>
        </w:r>
      </w:hyperlink>
    </w:p>
    <w:bookmarkEnd w:id="128"/>
    <w:bookmarkStart w:id="130"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129">
        <w:r>
          <w:rPr>
            <w:rStyle w:val="Hyperlink"/>
          </w:rPr>
          <w:t xml:space="preserve">https://doi.org/10.1126/science.1084564</w:t>
        </w:r>
      </w:hyperlink>
    </w:p>
    <w:bookmarkEnd w:id="130"/>
    <w:bookmarkStart w:id="132" w:name="ref-dorison2022"/>
    <w:p>
      <w:pPr>
        <w:pStyle w:val="Literaturverzeichnis"/>
      </w:pPr>
      <w:r>
        <w:t xml:space="preserve">Dorison, C., Lerner, J., Heller, B., Rothman, A., Kawachi, I., Wang, K., Rees, V., Gill, B., Gibbs, N., Ebersole, C., Vally, Z., Tajchman, Z., Zsido, A., Zrimsek, M., Chen, Z., Ziano, I., Gialitaki, Z., Ceary, C., Jang, Y.,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131">
        <w:r>
          <w:rPr>
            <w:rStyle w:val="Hyperlink"/>
          </w:rPr>
          <w:t xml:space="preserve">https://doi.org/10.31234/osf.io/sevkf</w:t>
        </w:r>
      </w:hyperlink>
    </w:p>
    <w:bookmarkEnd w:id="132"/>
    <w:bookmarkStart w:id="134" w:name="ref-ebersole2016"/>
    <w:p>
      <w:pPr>
        <w:pStyle w:val="Literaturverzeichnis"/>
      </w:pPr>
      <w:r>
        <w:t xml:space="preserve">Ebersole, C. R., Atherton, O. E., Belanger, A. L., Skulborstad, H. M., Allen, J. M., Banks, J. B., Baranski, E., Bernstein, M. J., Bonfiglio, D. B. V., Boucher, L., Brown, E. R., Budiman, N. I., Cairo, A. H., Capaldi, C. A., Chartier, C. R., Chung, J. M., Cicero, D. C., Coleman, J. A., Conway, J. G.,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133">
        <w:r>
          <w:rPr>
            <w:rStyle w:val="Hyperlink"/>
          </w:rPr>
          <w:t xml:space="preserve">https://doi.org/10.1016/j.jesp.2015.10.012</w:t>
        </w:r>
      </w:hyperlink>
    </w:p>
    <w:bookmarkEnd w:id="134"/>
    <w:bookmarkStart w:id="136" w:name="ref-ebersole2020"/>
    <w:p>
      <w:pPr>
        <w:pStyle w:val="Literaturverzeichnis"/>
      </w:pPr>
      <w:r>
        <w:t xml:space="preserve">Ebersole, C. R., Mathur, M. B., Baranski, E., Bart-Plange, D.-J., Buttrick, N. R., Chartier, C. R., Corker, K. S., Corley, M., Hartshorne, J. K., IJzerman, H., Lazarević, L. B., Rabagliati, H., Ropovik, I., Aczel, B., Aeschbach, L. F., Andrighetto, L., Arnal, J. D., Arrow, H., Babincak, P.,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135">
        <w:r>
          <w:rPr>
            <w:rStyle w:val="Hyperlink"/>
          </w:rPr>
          <w:t xml:space="preserve">https://doi.org/10.1177/2515245920958687</w:t>
        </w:r>
      </w:hyperlink>
    </w:p>
    <w:bookmarkEnd w:id="136"/>
    <w:bookmarkStart w:id="138"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137">
        <w:r>
          <w:rPr>
            <w:rStyle w:val="Hyperlink"/>
          </w:rPr>
          <w:t xml:space="preserve">https://doi.org/10.7554/eLife.71601</w:t>
        </w:r>
      </w:hyperlink>
    </w:p>
    <w:bookmarkEnd w:id="138"/>
    <w:bookmarkStart w:id="140"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139">
        <w:r>
          <w:rPr>
            <w:rStyle w:val="Hyperlink"/>
          </w:rPr>
          <w:t xml:space="preserve">https://doi.org/10.31234/osf.io/2mdxh</w:t>
        </w:r>
      </w:hyperlink>
    </w:p>
    <w:bookmarkEnd w:id="140"/>
    <w:bookmarkStart w:id="142"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141">
        <w:r>
          <w:rPr>
            <w:rStyle w:val="Hyperlink"/>
          </w:rPr>
          <w:t xml:space="preserve">https://doi.org/10.1126/science.1255484</w:t>
        </w:r>
      </w:hyperlink>
    </w:p>
    <w:bookmarkEnd w:id="142"/>
    <w:bookmarkStart w:id="144"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143">
        <w:r>
          <w:rPr>
            <w:rStyle w:val="Hyperlink"/>
          </w:rPr>
          <w:t xml:space="preserve">https://doi.org/10.1080/00224545.2014.853582</w:t>
        </w:r>
      </w:hyperlink>
    </w:p>
    <w:bookmarkEnd w:id="144"/>
    <w:bookmarkStart w:id="146"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145">
        <w:r>
          <w:rPr>
            <w:rStyle w:val="Hyperlink"/>
          </w:rPr>
          <w:t xml:space="preserve">https://doi.org/10.1017/S0140525X0999152X</w:t>
        </w:r>
      </w:hyperlink>
    </w:p>
    <w:bookmarkEnd w:id="146"/>
    <w:bookmarkStart w:id="148"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47">
        <w:r>
          <w:rPr>
            <w:rStyle w:val="Hyperlink"/>
          </w:rPr>
          <w:t xml:space="preserve">https://doi.org/10.2466/pr0.1997.80.1.337</w:t>
        </w:r>
      </w:hyperlink>
    </w:p>
    <w:bookmarkEnd w:id="148"/>
    <w:bookmarkStart w:id="150"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w:t>
      </w:r>
      <w:r>
        <w:t xml:space="preserve"> </w:t>
      </w:r>
      <w:hyperlink r:id="rId149">
        <w:r>
          <w:rPr>
            <w:rStyle w:val="Hyperlink"/>
          </w:rPr>
          <w:t xml:space="preserve">https://www.ncbi.nlm.nih.gov/pmc/articles/PMC4938249/</w:t>
        </w:r>
      </w:hyperlink>
    </w:p>
    <w:bookmarkEnd w:id="150"/>
    <w:bookmarkStart w:id="152" w:name="ref-isager2021"/>
    <w:p>
      <w:pPr>
        <w:pStyle w:val="Literaturverzeichnis"/>
      </w:pPr>
      <w:r>
        <w:t xml:space="preserve">Isager, P. M., Aert, R. C. M. van, Bahník, Š., Brandt, M. J., DeSoto, K. A., Giner-Sorolla, R., Krueger, J. I., Perugini, M., Ropovik, I., van ’t Veer, A. E., Vranka, M., &amp;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51">
        <w:r>
          <w:rPr>
            <w:rStyle w:val="Hyperlink"/>
          </w:rPr>
          <w:t xml:space="preserve">https://doi.org/10.1037/met0000438</w:t>
        </w:r>
      </w:hyperlink>
    </w:p>
    <w:bookmarkEnd w:id="152"/>
    <w:bookmarkStart w:id="153" w:name="ref-isager2021a"/>
    <w:p>
      <w:pPr>
        <w:pStyle w:val="Literaturverzeichnis"/>
      </w:pPr>
      <w:r>
        <w:t xml:space="preserve">Isager, P. M., Aert, R. C. M. van, Bahník, Š., Brandt, M. J., DeSoto, K. A., Giner-Sorolla, R., Krueger, J. I., Perugini, M., Ropovik, I., van ’t Veer, A. E., Vranka, M., &amp;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51">
        <w:r>
          <w:rPr>
            <w:rStyle w:val="Hyperlink"/>
          </w:rPr>
          <w:t xml:space="preserve">https://doi.org/10.1037/met0000438</w:t>
        </w:r>
      </w:hyperlink>
    </w:p>
    <w:bookmarkEnd w:id="153"/>
    <w:bookmarkStart w:id="155"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54">
        <w:r>
          <w:rPr>
            <w:rStyle w:val="Hyperlink"/>
          </w:rPr>
          <w:t xml:space="preserve">https://doi.org/10.1177/0956797611430953</w:t>
        </w:r>
      </w:hyperlink>
    </w:p>
    <w:bookmarkEnd w:id="155"/>
    <w:bookmarkStart w:id="157" w:name="ref-jones2021"/>
    <w:p>
      <w:pPr>
        <w:pStyle w:val="Literaturverzeichnis"/>
      </w:pPr>
      <w:r>
        <w:t xml:space="preserve">Jones, B. C., DeBruine, L. M., Flake, J. K., Liuzza, M. T., Antfolk, J., Arinze, N. C., Ndukaihe, I. L. G., Bloxsom, N. G., Lewis, S. C., Foroni, F., Willis, M. L., Cubillas, C. P., Vadillo, M. A., Turiegano, E., Gilead, M., Simchon, A., Saribay, S. A., Owsley, N. C., Jang,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56">
        <w:r>
          <w:rPr>
            <w:rStyle w:val="Hyperlink"/>
          </w:rPr>
          <w:t xml:space="preserve">https://doi.org/10.1038/s41562-020-01007-2</w:t>
        </w:r>
      </w:hyperlink>
    </w:p>
    <w:bookmarkEnd w:id="157"/>
    <w:bookmarkStart w:id="159" w:name="ref-kidwell2016"/>
    <w:p>
      <w:pPr>
        <w:pStyle w:val="Literaturverzeichnis"/>
      </w:pPr>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58">
        <w:r>
          <w:rPr>
            <w:rStyle w:val="Hyperlink"/>
          </w:rPr>
          <w:t xml:space="preserve">https://doi.org/10.1371/journal.pbio.1002456</w:t>
        </w:r>
      </w:hyperlink>
    </w:p>
    <w:bookmarkEnd w:id="159"/>
    <w:bookmarkStart w:id="161" w:name="ref-klein2022"/>
    <w:p>
      <w:pPr>
        <w:pStyle w:val="Literaturverzeichnis"/>
      </w:pPr>
      <w:r>
        <w:t xml:space="preserve">Klein, R. A., Cook, C. L., Ebersole, C. R., Vitiello, C., Nosek, B. A., Hilgard, J., Ahn, P. H., Brady, A. J., Chartier, C. R., Christopherson, C. D., Clay, S., Collisson, B., Crawford, J. T., Cromar, R., Gardiner, G., Gosnell, C. L., Grahe, J., Hall, C., Howard, I.,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60">
        <w:r>
          <w:rPr>
            <w:rStyle w:val="Hyperlink"/>
          </w:rPr>
          <w:t xml:space="preserve">https://doi.org/10.1525/collabra.35271</w:t>
        </w:r>
      </w:hyperlink>
    </w:p>
    <w:bookmarkEnd w:id="161"/>
    <w:bookmarkStart w:id="163" w:name="ref-klein2018"/>
    <w:p>
      <w:pPr>
        <w:pStyle w:val="Literaturverzeichnis"/>
      </w:pPr>
      <w:r>
        <w:t xml:space="preserve">Klein, R. A., Vianello, M., Hasselman, F., Adams, B. G., Adams, R. B., Alper, S., Aveyard, M., Axt, J. R., Babalola, M. T., Bahník, Š., Batra, R., Berkics, M., Bernstein, M. J., Berry, D. R., Bialobrzeska, O., Binan, E. D., Bocian, K., Brandt, M. J., Busching, R.,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62">
        <w:r>
          <w:rPr>
            <w:rStyle w:val="Hyperlink"/>
          </w:rPr>
          <w:t xml:space="preserve">https://doi.org/10.1177/2515245918810225</w:t>
        </w:r>
      </w:hyperlink>
    </w:p>
    <w:bookmarkEnd w:id="163"/>
    <w:bookmarkStart w:id="165"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64">
        <w:r>
          <w:rPr>
            <w:rStyle w:val="Hyperlink"/>
          </w:rPr>
          <w:t xml:space="preserve">https://doi.org/10.1177/2515245918787489</w:t>
        </w:r>
      </w:hyperlink>
    </w:p>
    <w:bookmarkEnd w:id="165"/>
    <w:bookmarkStart w:id="167" w:name="ref-legate2022"/>
    <w:p>
      <w:pPr>
        <w:pStyle w:val="Literaturverzeichnis"/>
      </w:pPr>
      <w:r>
        <w:t xml:space="preserve">Legate, N., Nguyen, T., Weinstein, N., Moller, A., Legault, L., Maniaci, M. R., Ebersole, C. R., Adamkovic, M., Adetula, D. G. A., Agesin, B. B., Ahlgren, L., Akkas, H., Almeida, I., Anjum, G., Antoniadi, M., Arinze, A. I., Arvanitis, A., Rana, K., Badalyan, V.,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66">
        <w:r>
          <w:rPr>
            <w:rStyle w:val="Hyperlink"/>
          </w:rPr>
          <w:t xml:space="preserve">https://doi.org/10.31234/osf.io/n3dyf</w:t>
        </w:r>
      </w:hyperlink>
    </w:p>
    <w:bookmarkEnd w:id="167"/>
    <w:bookmarkStart w:id="169"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68">
        <w:r>
          <w:rPr>
            <w:rStyle w:val="Hyperlink"/>
          </w:rPr>
          <w:t xml:space="preserve">https://doi.org/10.1016/j.cortex.2018.12.015</w:t>
        </w:r>
      </w:hyperlink>
    </w:p>
    <w:bookmarkEnd w:id="169"/>
    <w:bookmarkStart w:id="171" w:name="ref-mathur2020"/>
    <w:p>
      <w:pPr>
        <w:pStyle w:val="Literaturverzeichnis"/>
      </w:pPr>
      <w:r>
        <w:t xml:space="preserve">Mathur, M. B., Bart-Plange, D.-J., Aczel, B., Bernstein, M. H., Ciunci, A. M., Ebersole, C. R., Falcão, F., Ashbaugh, K., Hilliard, R. A., Jern, A., Kellier, D. J., Kessinger, G., Kolb, V. S., Kovacs, M., Lage, C. A., Langford, E. V., Lins, S., Manfredi, D., Meyet, V.,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70">
        <w:r>
          <w:rPr>
            <w:rStyle w:val="Hyperlink"/>
          </w:rPr>
          <w:t xml:space="preserve">https://doi.org/10.1177/2515245918785165</w:t>
        </w:r>
      </w:hyperlink>
    </w:p>
    <w:bookmarkEnd w:id="171"/>
    <w:bookmarkStart w:id="173"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72">
        <w:r>
          <w:rPr>
            <w:rStyle w:val="Hyperlink"/>
          </w:rPr>
          <w:t xml:space="preserve">https://doi.org/10.1037/a0039400</w:t>
        </w:r>
      </w:hyperlink>
    </w:p>
    <w:bookmarkEnd w:id="173"/>
    <w:bookmarkStart w:id="175"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74">
        <w:r>
          <w:rPr>
            <w:rStyle w:val="Hyperlink"/>
          </w:rPr>
          <w:t xml:space="preserve">https://doi.org/10.1186/s41073-021-00112-8</w:t>
        </w:r>
      </w:hyperlink>
    </w:p>
    <w:bookmarkEnd w:id="175"/>
    <w:bookmarkStart w:id="177" w:name="ref-moshontz2018"/>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76">
        <w:r>
          <w:rPr>
            <w:rStyle w:val="Hyperlink"/>
          </w:rPr>
          <w:t xml:space="preserve">https://doi.org/10.1177/2515245918797607</w:t>
        </w:r>
      </w:hyperlink>
    </w:p>
    <w:bookmarkEnd w:id="177"/>
    <w:bookmarkStart w:id="179"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78">
        <w:r>
          <w:rPr>
            <w:rStyle w:val="Hyperlink"/>
          </w:rPr>
          <w:t xml:space="preserve">https://doi.org/10.1146/annurev-psych-122216-011836</w:t>
        </w:r>
      </w:hyperlink>
    </w:p>
    <w:bookmarkEnd w:id="179"/>
    <w:bookmarkStart w:id="181"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80">
        <w:r>
          <w:rPr>
            <w:rStyle w:val="Hyperlink"/>
          </w:rPr>
          <w:t xml:space="preserve">https://doi.org/10.1558/jcsr.38413</w:t>
        </w:r>
      </w:hyperlink>
    </w:p>
    <w:bookmarkEnd w:id="181"/>
    <w:bookmarkStart w:id="183" w:name="ref-nosek2015"/>
    <w:p>
      <w:pPr>
        <w:pStyle w:val="Literaturverzeichnis"/>
      </w:pPr>
      <w:r>
        <w:t xml:space="preserve">Nosek, B. A., Alter, G., Banks, G. C., Borsboom, D., Bowman, S. D., Breckler, S. J., Buck, S., Chambers, C. D., Chin, G., Christensen, G., Contestabile, M., Dafoe, A., Eich, E., Freese, J., Glennerster, R., Goroff, D., Green, D. P., Hesse, B., Humphreys, M.,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82">
        <w:r>
          <w:rPr>
            <w:rStyle w:val="Hyperlink"/>
          </w:rPr>
          <w:t xml:space="preserve">https://doi.org/10.1126/science.aab2374</w:t>
        </w:r>
      </w:hyperlink>
    </w:p>
    <w:bookmarkEnd w:id="183"/>
    <w:bookmarkStart w:id="185" w:name="ref-nosek2014"/>
    <w:p>
      <w:pPr>
        <w:pStyle w:val="Literaturverzeichnis"/>
      </w:pPr>
      <w:r>
        <w:t xml:space="preserve">Nosek, B. A., &amp; Lakens, D. (2014a).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84">
        <w:r>
          <w:rPr>
            <w:rStyle w:val="Hyperlink"/>
          </w:rPr>
          <w:t xml:space="preserve">https://doi.org/10.1027/1864-9335/a000192</w:t>
        </w:r>
      </w:hyperlink>
    </w:p>
    <w:bookmarkEnd w:id="185"/>
    <w:bookmarkStart w:id="186" w:name="ref-nosek2014method"/>
    <w:p>
      <w:pPr>
        <w:pStyle w:val="Literaturverzeichnis"/>
      </w:pPr>
      <w:r>
        <w:t xml:space="preserve">Nosek, B. A., &amp; Lakens, D. (2014b).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86"/>
    <w:bookmarkStart w:id="188" w:name="ref-nosek2012"/>
    <w:p>
      <w:pPr>
        <w:pStyle w:val="Literaturverzeichnis"/>
      </w:pPr>
      <w:r>
        <w:t xml:space="preserve">Nosek, B.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87">
        <w:r>
          <w:rPr>
            <w:rStyle w:val="Hyperlink"/>
          </w:rPr>
          <w:t xml:space="preserve">https://doi.org/10.1177/1745691612459058</w:t>
        </w:r>
      </w:hyperlink>
    </w:p>
    <w:bookmarkEnd w:id="188"/>
    <w:bookmarkStart w:id="189" w:name="ref-oed2016"/>
    <w:p>
      <w:pPr>
        <w:pStyle w:val="Literaturverzeichnis"/>
      </w:pPr>
      <w:r>
        <w:t xml:space="preserve">OED. (2016).</w:t>
      </w:r>
      <w:r>
        <w:t xml:space="preserve"> </w:t>
      </w:r>
      <w:r>
        <w:rPr>
          <w:iCs/>
          <w:i/>
        </w:rPr>
        <w:t xml:space="preserve">Collaboration</w:t>
      </w:r>
      <w:r>
        <w:t xml:space="preserve"> </w:t>
      </w:r>
      <w:r>
        <w:t xml:space="preserve">(Vol. 3). Oxford University.</w:t>
      </w:r>
    </w:p>
    <w:bookmarkEnd w:id="189"/>
    <w:bookmarkStart w:id="191"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90">
        <w:r>
          <w:rPr>
            <w:rStyle w:val="Hyperlink"/>
          </w:rPr>
          <w:t xml:space="preserve">https://doi.org/10.1126/science.aac4716</w:t>
        </w:r>
      </w:hyperlink>
    </w:p>
    <w:bookmarkEnd w:id="191"/>
    <w:bookmarkStart w:id="193"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92">
        <w:r>
          <w:rPr>
            <w:rStyle w:val="Hyperlink"/>
          </w:rPr>
          <w:t xml:space="preserve">https://doi.org/10.1073/pnas.1721165115</w:t>
        </w:r>
      </w:hyperlink>
    </w:p>
    <w:bookmarkEnd w:id="193"/>
    <w:bookmarkStart w:id="194" w:name="ref-silberzahn2018many"/>
    <w:p>
      <w:pPr>
        <w:pStyle w:val="Literaturverzeichnis"/>
      </w:pPr>
      <w:r>
        <w:t xml:space="preserve">Silberzahn, R., Uhlmann, E. L., Martin, D. P., Anselmi, P., Aust, F., Awtrey, E., Bahník, Š., Bai, F., Bannard, C., Bonnier, E., &amp;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94"/>
    <w:bookmarkStart w:id="196" w:name="ref-skorb2020"/>
    <w:p>
      <w:pPr>
        <w:pStyle w:val="Literaturverzeichnis"/>
      </w:pPr>
      <w:r>
        <w:t xml:space="preserve">Skorb, L., Aczel, B., Bakos, B. E., Feinberg, L., Hałasa, E., Kauff, M., Kovacs, M., Krasuska, K., Kuchno, K., Manfredi, D., Montealegre, A., Pękala, E., Pieńkosz, D., Ravid, J., Rentzsch, K., Szaszi, B., Schulz-Hardt, S., Sioma, B., Szecsi, P.,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95">
        <w:r>
          <w:rPr>
            <w:rStyle w:val="Hyperlink"/>
          </w:rPr>
          <w:t xml:space="preserve">https://doi.org/10.1177/2515245920927643</w:t>
        </w:r>
      </w:hyperlink>
    </w:p>
    <w:bookmarkEnd w:id="196"/>
    <w:bookmarkStart w:id="198"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97">
        <w:r>
          <w:rPr>
            <w:rStyle w:val="Hyperlink"/>
          </w:rPr>
          <w:t xml:space="preserve">https://doi.org/10.1016/j.tics.2017.06.007</w:t>
        </w:r>
      </w:hyperlink>
    </w:p>
    <w:bookmarkEnd w:id="198"/>
    <w:bookmarkStart w:id="200" w:name="ref-stewart2020"/>
    <w:p>
      <w:pPr>
        <w:pStyle w:val="Literaturverzeichnis"/>
      </w:pPr>
      <w:r>
        <w:t xml:space="preserve">Stewart, S., Rinke, E. M., McGarrigle, R., Lynott, D., Lunny, C., Lautarescu, A., Galizzi, M. M., Farran, E. K., &amp; Crook, Z. (2020).</w:t>
      </w:r>
      <w:r>
        <w:t xml:space="preserve"> </w:t>
      </w:r>
      <w:r>
        <w:rPr>
          <w:iCs/>
          <w:i/>
        </w:rPr>
        <w:t xml:space="preserve">Pre-registration and registered reports: A primer from UKRN</w:t>
      </w:r>
      <w:r>
        <w:t xml:space="preserve">.</w:t>
      </w:r>
      <w:r>
        <w:t xml:space="preserve"> </w:t>
      </w:r>
      <w:hyperlink r:id="rId199">
        <w:r>
          <w:rPr>
            <w:rStyle w:val="Hyperlink"/>
          </w:rPr>
          <w:t xml:space="preserve">https://doi.org/10.31219/osf.io/8v2n7</w:t>
        </w:r>
      </w:hyperlink>
    </w:p>
    <w:bookmarkEnd w:id="200"/>
    <w:bookmarkStart w:id="202" w:name="ref-vanbavel2022"/>
    <w:p>
      <w:pPr>
        <w:pStyle w:val="Literaturverzeichnis"/>
      </w:pPr>
      <w:r>
        <w:t xml:space="preserve">Van Bavel, J. J., Cichocka, A., Capraro, V., Sjåstad, H., Nezlek, J. B., Pavlović, T., Alfano, M., Gelfand, M. J., Azevedo, F., Birtel, M. D., Cislak, A., Lockwood, P. L., Ross, R. M., Abts, K., Agadullina, E., Aruta, J. J. B., Besharati, S. N., Bor, A., Choma, B. L.,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201">
        <w:r>
          <w:rPr>
            <w:rStyle w:val="Hyperlink"/>
          </w:rPr>
          <w:t xml:space="preserve">https://doi.org/10.1038/s41467-021-27668-9</w:t>
        </w:r>
      </w:hyperlink>
    </w:p>
    <w:bookmarkEnd w:id="202"/>
    <w:bookmarkStart w:id="204"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203">
        <w:r>
          <w:rPr>
            <w:rStyle w:val="Hyperlink"/>
          </w:rPr>
          <w:t xml:space="preserve">https://doi.org/10.1177/09637214211067779</w:t>
        </w:r>
      </w:hyperlink>
    </w:p>
    <w:bookmarkEnd w:id="204"/>
    <w:bookmarkStart w:id="206" w:name="ref-wang2021"/>
    <w:p>
      <w:pPr>
        <w:pStyle w:val="Literaturverzeichnis"/>
      </w:pPr>
      <w:r>
        <w:t xml:space="preserve">Wang, K., Goldenberg, A., Dorison, C. A., Miller, J. K., Uusberg, A., Lerner, J. S., Gross, J. J., Agesin, B. B., Bernardo, M., Campos, O., Eudave, L., Grzech, K., Ozery, D. H., Jackson, E. A., Garcia, E. O. L., Drexler, S. M., Jurković, A. P., Rana, K., Wilson, J. P.,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205">
        <w:r>
          <w:rPr>
            <w:rStyle w:val="Hyperlink"/>
          </w:rPr>
          <w:t xml:space="preserve">https://doi.org/10.1038/s41562-021-01173-x</w:t>
        </w:r>
      </w:hyperlink>
    </w:p>
    <w:bookmarkEnd w:id="206"/>
    <w:bookmarkStart w:id="208"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207">
        <w:r>
          <w:rPr>
            <w:rStyle w:val="Hyperlink"/>
          </w:rPr>
          <w:t xml:space="preserve">https://doi.org/10.1017/S0140525X17001972</w:t>
        </w:r>
      </w:hyperlink>
    </w:p>
    <w:bookmarkEnd w:id="208"/>
    <w:bookmarkEnd w:id="209"/>
    <w:bookmarkEnd w:id="21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106" Target="media/rId10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hyperlink" Id="rId118" Target="https://doi.org/10.1002/leap.1210" TargetMode="External" /><Relationship Type="http://schemas.openxmlformats.org/officeDocument/2006/relationships/hyperlink" Id="rId168" Target="https://doi.org/10.1016/j.cortex.2018.12.015" TargetMode="External" /><Relationship Type="http://schemas.openxmlformats.org/officeDocument/2006/relationships/hyperlink" Id="rId133" Target="https://doi.org/10.1016/j.jesp.2015.10.012" TargetMode="External" /><Relationship Type="http://schemas.openxmlformats.org/officeDocument/2006/relationships/hyperlink" Id="rId125" Target="https://doi.org/10.1016/j.respol.2018.06.018" TargetMode="External" /><Relationship Type="http://schemas.openxmlformats.org/officeDocument/2006/relationships/hyperlink" Id="rId197" Target="https://doi.org/10.1016/j.tics.2017.06.007" TargetMode="External" /><Relationship Type="http://schemas.openxmlformats.org/officeDocument/2006/relationships/hyperlink" Id="rId145" Target="https://doi.org/10.1017/S0140525X0999152X" TargetMode="External" /><Relationship Type="http://schemas.openxmlformats.org/officeDocument/2006/relationships/hyperlink" Id="rId207" Target="https://doi.org/10.1017/S0140525X17001972" TargetMode="External" /><Relationship Type="http://schemas.openxmlformats.org/officeDocument/2006/relationships/hyperlink" Id="rId184" Target="https://doi.org/10.1027/1864-9335/a000192" TargetMode="External" /><Relationship Type="http://schemas.openxmlformats.org/officeDocument/2006/relationships/hyperlink" Id="rId172" Target="https://doi.org/10.1037/a0039400" TargetMode="External" /><Relationship Type="http://schemas.openxmlformats.org/officeDocument/2006/relationships/hyperlink" Id="rId151" Target="https://doi.org/10.1037/met0000438" TargetMode="External" /><Relationship Type="http://schemas.openxmlformats.org/officeDocument/2006/relationships/hyperlink" Id="rId127" Target="https://doi.org/10.1038/d41586-022-00150-2" TargetMode="External" /><Relationship Type="http://schemas.openxmlformats.org/officeDocument/2006/relationships/hyperlink" Id="rId201" Target="https://doi.org/10.1038/s41467-021-27668-9" TargetMode="External" /><Relationship Type="http://schemas.openxmlformats.org/officeDocument/2006/relationships/hyperlink" Id="rId156" Target="https://doi.org/10.1038/s41562-020-01007-2" TargetMode="External" /><Relationship Type="http://schemas.openxmlformats.org/officeDocument/2006/relationships/hyperlink" Id="rId205" Target="https://doi.org/10.1038/s41562-021-01173-x" TargetMode="External" /><Relationship Type="http://schemas.openxmlformats.org/officeDocument/2006/relationships/hyperlink" Id="rId121" Target="https://doi.org/10.1038/s41562-022-01319-5" TargetMode="External" /><Relationship Type="http://schemas.openxmlformats.org/officeDocument/2006/relationships/hyperlink" Id="rId116" Target="https://doi.org/10.1038/s41567-021-01278-0" TargetMode="External" /><Relationship Type="http://schemas.openxmlformats.org/officeDocument/2006/relationships/hyperlink" Id="rId192" Target="https://doi.org/10.1073/pnas.1721165115" TargetMode="External" /><Relationship Type="http://schemas.openxmlformats.org/officeDocument/2006/relationships/hyperlink" Id="rId143" Target="https://doi.org/10.1080/00224545.2014.853582" TargetMode="External" /><Relationship Type="http://schemas.openxmlformats.org/officeDocument/2006/relationships/hyperlink" Id="rId129" Target="https://doi.org/10.1126/science.1084564" TargetMode="External" /><Relationship Type="http://schemas.openxmlformats.org/officeDocument/2006/relationships/hyperlink" Id="rId141" Target="https://doi.org/10.1126/science.1255484" TargetMode="External" /><Relationship Type="http://schemas.openxmlformats.org/officeDocument/2006/relationships/hyperlink" Id="rId182" Target="https://doi.org/10.1126/science.aab2374" TargetMode="External" /><Relationship Type="http://schemas.openxmlformats.org/officeDocument/2006/relationships/hyperlink" Id="rId190" Target="https://doi.org/10.1126/science.aac4716" TargetMode="External" /><Relationship Type="http://schemas.openxmlformats.org/officeDocument/2006/relationships/hyperlink" Id="rId178" Target="https://doi.org/10.1146/annurev-psych-122216-011836" TargetMode="External" /><Relationship Type="http://schemas.openxmlformats.org/officeDocument/2006/relationships/hyperlink" Id="rId154" Target="https://doi.org/10.1177/0956797611430953" TargetMode="External" /><Relationship Type="http://schemas.openxmlformats.org/officeDocument/2006/relationships/hyperlink" Id="rId203" Target="https://doi.org/10.1177/09637214211067779" TargetMode="External" /><Relationship Type="http://schemas.openxmlformats.org/officeDocument/2006/relationships/hyperlink" Id="rId187" Target="https://doi.org/10.1177/1745691612459058" TargetMode="External" /><Relationship Type="http://schemas.openxmlformats.org/officeDocument/2006/relationships/hyperlink" Id="rId170" Target="https://doi.org/10.1177/2515245918785165" TargetMode="External" /><Relationship Type="http://schemas.openxmlformats.org/officeDocument/2006/relationships/hyperlink" Id="rId164" Target="https://doi.org/10.1177/2515245918787489" TargetMode="External" /><Relationship Type="http://schemas.openxmlformats.org/officeDocument/2006/relationships/hyperlink" Id="rId176" Target="https://doi.org/10.1177/2515245918797607" TargetMode="External" /><Relationship Type="http://schemas.openxmlformats.org/officeDocument/2006/relationships/hyperlink" Id="rId162" Target="https://doi.org/10.1177/2515245918810225" TargetMode="External" /><Relationship Type="http://schemas.openxmlformats.org/officeDocument/2006/relationships/hyperlink" Id="rId123" Target="https://doi.org/10.1177/2515245920917931" TargetMode="External" /><Relationship Type="http://schemas.openxmlformats.org/officeDocument/2006/relationships/hyperlink" Id="rId195" Target="https://doi.org/10.1177/2515245920927643" TargetMode="External" /><Relationship Type="http://schemas.openxmlformats.org/officeDocument/2006/relationships/hyperlink" Id="rId135" Target="https://doi.org/10.1177/2515245920958687" TargetMode="External" /><Relationship Type="http://schemas.openxmlformats.org/officeDocument/2006/relationships/hyperlink" Id="rId174" Target="https://doi.org/10.1186/s41073-021-00112-8" TargetMode="External" /><Relationship Type="http://schemas.openxmlformats.org/officeDocument/2006/relationships/hyperlink" Id="rId158" Target="https://doi.org/10.1371/journal.pbio.1002456" TargetMode="External" /><Relationship Type="http://schemas.openxmlformats.org/officeDocument/2006/relationships/hyperlink" Id="rId160" Target="https://doi.org/10.1525/collabra.35271" TargetMode="External" /><Relationship Type="http://schemas.openxmlformats.org/officeDocument/2006/relationships/hyperlink" Id="rId180" Target="https://doi.org/10.1558/jcsr.38413" TargetMode="External" /><Relationship Type="http://schemas.openxmlformats.org/officeDocument/2006/relationships/hyperlink" Id="rId147" Target="https://doi.org/10.2466/pr0.1997.80.1.337" TargetMode="External" /><Relationship Type="http://schemas.openxmlformats.org/officeDocument/2006/relationships/hyperlink" Id="rId199" Target="https://doi.org/10.31219/osf.io/8v2n7" TargetMode="External" /><Relationship Type="http://schemas.openxmlformats.org/officeDocument/2006/relationships/hyperlink" Id="rId139" Target="https://doi.org/10.31234/osf.io/2mdxh" TargetMode="External" /><Relationship Type="http://schemas.openxmlformats.org/officeDocument/2006/relationships/hyperlink" Id="rId166" Target="https://doi.org/10.31234/osf.io/n3dyf" TargetMode="External" /><Relationship Type="http://schemas.openxmlformats.org/officeDocument/2006/relationships/hyperlink" Id="rId131" Target="https://doi.org/10.31234/osf.io/sevkf" TargetMode="External" /><Relationship Type="http://schemas.openxmlformats.org/officeDocument/2006/relationships/hyperlink" Id="rId137"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49"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118" Target="https://doi.org/10.1002/leap.1210" TargetMode="External" /><Relationship Type="http://schemas.openxmlformats.org/officeDocument/2006/relationships/hyperlink" Id="rId168" Target="https://doi.org/10.1016/j.cortex.2018.12.015" TargetMode="External" /><Relationship Type="http://schemas.openxmlformats.org/officeDocument/2006/relationships/hyperlink" Id="rId133" Target="https://doi.org/10.1016/j.jesp.2015.10.012" TargetMode="External" /><Relationship Type="http://schemas.openxmlformats.org/officeDocument/2006/relationships/hyperlink" Id="rId125" Target="https://doi.org/10.1016/j.respol.2018.06.018" TargetMode="External" /><Relationship Type="http://schemas.openxmlformats.org/officeDocument/2006/relationships/hyperlink" Id="rId197" Target="https://doi.org/10.1016/j.tics.2017.06.007" TargetMode="External" /><Relationship Type="http://schemas.openxmlformats.org/officeDocument/2006/relationships/hyperlink" Id="rId145" Target="https://doi.org/10.1017/S0140525X0999152X" TargetMode="External" /><Relationship Type="http://schemas.openxmlformats.org/officeDocument/2006/relationships/hyperlink" Id="rId207" Target="https://doi.org/10.1017/S0140525X17001972" TargetMode="External" /><Relationship Type="http://schemas.openxmlformats.org/officeDocument/2006/relationships/hyperlink" Id="rId184" Target="https://doi.org/10.1027/1864-9335/a000192" TargetMode="External" /><Relationship Type="http://schemas.openxmlformats.org/officeDocument/2006/relationships/hyperlink" Id="rId172" Target="https://doi.org/10.1037/a0039400" TargetMode="External" /><Relationship Type="http://schemas.openxmlformats.org/officeDocument/2006/relationships/hyperlink" Id="rId151" Target="https://doi.org/10.1037/met0000438" TargetMode="External" /><Relationship Type="http://schemas.openxmlformats.org/officeDocument/2006/relationships/hyperlink" Id="rId127" Target="https://doi.org/10.1038/d41586-022-00150-2" TargetMode="External" /><Relationship Type="http://schemas.openxmlformats.org/officeDocument/2006/relationships/hyperlink" Id="rId201" Target="https://doi.org/10.1038/s41467-021-27668-9" TargetMode="External" /><Relationship Type="http://schemas.openxmlformats.org/officeDocument/2006/relationships/hyperlink" Id="rId156" Target="https://doi.org/10.1038/s41562-020-01007-2" TargetMode="External" /><Relationship Type="http://schemas.openxmlformats.org/officeDocument/2006/relationships/hyperlink" Id="rId205" Target="https://doi.org/10.1038/s41562-021-01173-x" TargetMode="External" /><Relationship Type="http://schemas.openxmlformats.org/officeDocument/2006/relationships/hyperlink" Id="rId121" Target="https://doi.org/10.1038/s41562-022-01319-5" TargetMode="External" /><Relationship Type="http://schemas.openxmlformats.org/officeDocument/2006/relationships/hyperlink" Id="rId116" Target="https://doi.org/10.1038/s41567-021-01278-0" TargetMode="External" /><Relationship Type="http://schemas.openxmlformats.org/officeDocument/2006/relationships/hyperlink" Id="rId192" Target="https://doi.org/10.1073/pnas.1721165115" TargetMode="External" /><Relationship Type="http://schemas.openxmlformats.org/officeDocument/2006/relationships/hyperlink" Id="rId143" Target="https://doi.org/10.1080/00224545.2014.853582" TargetMode="External" /><Relationship Type="http://schemas.openxmlformats.org/officeDocument/2006/relationships/hyperlink" Id="rId129" Target="https://doi.org/10.1126/science.1084564" TargetMode="External" /><Relationship Type="http://schemas.openxmlformats.org/officeDocument/2006/relationships/hyperlink" Id="rId141" Target="https://doi.org/10.1126/science.1255484" TargetMode="External" /><Relationship Type="http://schemas.openxmlformats.org/officeDocument/2006/relationships/hyperlink" Id="rId182" Target="https://doi.org/10.1126/science.aab2374" TargetMode="External" /><Relationship Type="http://schemas.openxmlformats.org/officeDocument/2006/relationships/hyperlink" Id="rId190" Target="https://doi.org/10.1126/science.aac4716" TargetMode="External" /><Relationship Type="http://schemas.openxmlformats.org/officeDocument/2006/relationships/hyperlink" Id="rId178" Target="https://doi.org/10.1146/annurev-psych-122216-011836" TargetMode="External" /><Relationship Type="http://schemas.openxmlformats.org/officeDocument/2006/relationships/hyperlink" Id="rId154" Target="https://doi.org/10.1177/0956797611430953" TargetMode="External" /><Relationship Type="http://schemas.openxmlformats.org/officeDocument/2006/relationships/hyperlink" Id="rId203" Target="https://doi.org/10.1177/09637214211067779" TargetMode="External" /><Relationship Type="http://schemas.openxmlformats.org/officeDocument/2006/relationships/hyperlink" Id="rId187" Target="https://doi.org/10.1177/1745691612459058" TargetMode="External" /><Relationship Type="http://schemas.openxmlformats.org/officeDocument/2006/relationships/hyperlink" Id="rId170" Target="https://doi.org/10.1177/2515245918785165" TargetMode="External" /><Relationship Type="http://schemas.openxmlformats.org/officeDocument/2006/relationships/hyperlink" Id="rId164" Target="https://doi.org/10.1177/2515245918787489" TargetMode="External" /><Relationship Type="http://schemas.openxmlformats.org/officeDocument/2006/relationships/hyperlink" Id="rId176" Target="https://doi.org/10.1177/2515245918797607" TargetMode="External" /><Relationship Type="http://schemas.openxmlformats.org/officeDocument/2006/relationships/hyperlink" Id="rId162" Target="https://doi.org/10.1177/2515245918810225" TargetMode="External" /><Relationship Type="http://schemas.openxmlformats.org/officeDocument/2006/relationships/hyperlink" Id="rId123" Target="https://doi.org/10.1177/2515245920917931" TargetMode="External" /><Relationship Type="http://schemas.openxmlformats.org/officeDocument/2006/relationships/hyperlink" Id="rId195" Target="https://doi.org/10.1177/2515245920927643" TargetMode="External" /><Relationship Type="http://schemas.openxmlformats.org/officeDocument/2006/relationships/hyperlink" Id="rId135" Target="https://doi.org/10.1177/2515245920958687" TargetMode="External" /><Relationship Type="http://schemas.openxmlformats.org/officeDocument/2006/relationships/hyperlink" Id="rId174" Target="https://doi.org/10.1186/s41073-021-00112-8" TargetMode="External" /><Relationship Type="http://schemas.openxmlformats.org/officeDocument/2006/relationships/hyperlink" Id="rId158" Target="https://doi.org/10.1371/journal.pbio.1002456" TargetMode="External" /><Relationship Type="http://schemas.openxmlformats.org/officeDocument/2006/relationships/hyperlink" Id="rId160" Target="https://doi.org/10.1525/collabra.35271" TargetMode="External" /><Relationship Type="http://schemas.openxmlformats.org/officeDocument/2006/relationships/hyperlink" Id="rId180" Target="https://doi.org/10.1558/jcsr.38413" TargetMode="External" /><Relationship Type="http://schemas.openxmlformats.org/officeDocument/2006/relationships/hyperlink" Id="rId147" Target="https://doi.org/10.2466/pr0.1997.80.1.337" TargetMode="External" /><Relationship Type="http://schemas.openxmlformats.org/officeDocument/2006/relationships/hyperlink" Id="rId199" Target="https://doi.org/10.31219/osf.io/8v2n7" TargetMode="External" /><Relationship Type="http://schemas.openxmlformats.org/officeDocument/2006/relationships/hyperlink" Id="rId139" Target="https://doi.org/10.31234/osf.io/2mdxh" TargetMode="External" /><Relationship Type="http://schemas.openxmlformats.org/officeDocument/2006/relationships/hyperlink" Id="rId166" Target="https://doi.org/10.31234/osf.io/n3dyf" TargetMode="External" /><Relationship Type="http://schemas.openxmlformats.org/officeDocument/2006/relationships/hyperlink" Id="rId131" Target="https://doi.org/10.31234/osf.io/sevkf" TargetMode="External" /><Relationship Type="http://schemas.openxmlformats.org/officeDocument/2006/relationships/hyperlink" Id="rId137"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49"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2023-03-23T02:18:38Z</dcterms:created>
  <dcterms:modified xsi:type="dcterms:W3CDTF">2023-03-23T02:18:38Z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papaja::apa6_docx</vt:lpwstr>
  </property>
  <property fmtid="{D5CDD505-2E9C-101B-9397-08002B2CF9AE}" pid="17" name="shorttitle">
    <vt:lpwstr>Big Team Science</vt:lpwstr>
  </property>
  <property fmtid="{D5CDD505-2E9C-101B-9397-08002B2CF9AE}" pid="18" name="tablelist">
    <vt:lpwstr>False</vt:lpwstr>
  </property>
  <property fmtid="{D5CDD505-2E9C-101B-9397-08002B2CF9AE}" pid="19" name="wordcount">
    <vt:lpwstr>X</vt:lpwstr>
  </property>
</Properties>
</file>