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584"/>
                  </w:pPr>
                </w:p>
                <w:p>
                  <w:pPr>
                    <w:spacing w:after="1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Axia B2B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Pivot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Strategy</w:t>
                  </w:r>
                </w:p>
                <w:p>
                  <w:pPr>
                    <w:spacing w:after="100" w:line="312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Complete Change Analysis &amp; Implementation Roadmap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Prepared for Shubham Mamania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Analysis Date: June 2026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Current State: Pre-launch, 103 on waitlist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Axia B2B Pivot Analysis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PDF Strategy Summary (Key Takeaways)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Why This Pivot Makes Sense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Current vs Target State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New ICP — Three B2B Personas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2.3.1 Agency Owner (50% of B2B Revenue)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2.3.2 Operations Manager / COO (25%)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2.3.3 Small Business Owner with Contractors (25%)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Pricing Strategy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Codebase Gap Analysis — CRITICAL Priority (P0)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Workspace/Organization Architecture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Real Payment Processing (Stripe)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Team Time Tracking Aggregation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 Team/Agency Reporting Dashboard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3.5 Critical Integrations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 Codebase Gap Analysis — HIGH Priority (P1)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 Per-Seat Pricing Model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 Client Portal — Real Auth + Shareable Proof Links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 Pipeline Deal Assignment to Team Members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4.4 Multi-Currency UI + Exchange Rates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4.5 Workspace-Scoped Data Migration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 Codebase Gap Analysis — MEDIUM Priority (P2)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5.1 White-Label / Custom Branding for Agency Tier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5.2 API Access for Custom Integrations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5.3 Retainer Management Module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5.4 Team Capacity Planning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5.5 Client Health Score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5.6 Team Scope Alerts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 What Already Works Well (Keep &amp; Enhance)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6.1 Truth Layer / Evidence System — RATING: 5/5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6.2 Scope Creep Protection — RATING: 5/5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6.3 Proposals System — RATING: 5/5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6.4 Billing System — RATING: 4/5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6.5 Pipeline / CRM — RATING: 4/5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6.6 Client Portal Skeleton — RATING: 3/5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 90-Day Implementation Roadmap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8. Risk Assessment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9. The Bottom Line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12"/>
      </w:pPr>
      <w:bookmarkStart w:id="100000" w:name="_Toc100000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1. Executive Summary</w:t>
      </w:r>
      <w:bookmarkEnd w:id="100000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The Axia B2B Pivot Strategy PDF prescribes a fundamental shift in the company's go-to-market direction: from an 80% B2C / 20% B2B split to an 80% B2B / 20% B2C focus. This pivot is not a minor reprioritization but a complete reorientation of the product, pricing, sales motion, and feature roadmap. The rationale is clear: one agency paying $49/seat with 8 members generates $392/month, compared to 26 individual freelancers at $15/month each. B2B customers have 3-5% churn versus 15-25% for B2C, and they expand over time rather than churn.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After analyzing every page of the 18-page strategy document and cross-referencing against the entire Axia codebase (30+ database tables, 75+ backend functions, 25 pages, 140+ components), we identified 4 CRITICAL blockers, 5 HIGH-priority gaps, and 6 MEDIUM-priority improvements. The critical items are architectural: they prevent B2B launch entirely. The high-priority items are feature gaps that would make the B2B product uncompetitive. The medium-priority items are enhancements that strengthen the value proposition but are not launch-blocking.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The #1 blocker is architectural: the entire system is single-user. All 30+ tables are keyed by userId as the sole ownership key. There is no workspace, organization, or multi-tenant concept anywhere in the codebase. The Teams.tsx component is purely cosmetic with hardcoded mock members. The getTeamMembers function returns an empty array. The inviteTeamMember function is a no-op. This means that before any B2B feature can be built, the entire data model must be extended to support workspaces with role-based access.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However, the Truth Layer and Scope Protection features are genuinely well-built competitive advantages that no competitor offers. They need shareable links and workspace scoping, not rebuilding. The pivot is primarily about adding multi-user capabilities and repositioning what already exists.</w:t>
      </w:r>
    </w:p>
    <w:p>
      <w:pPr>
        <w:pStyle w:val="Heading1"/>
        <w:spacing w:after="200" w:before="400" w:line="312"/>
      </w:pPr>
      <w:bookmarkStart w:id="100001" w:name="_Toc100001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2. PDF Strategy Summary (Key Takeaways)</w:t>
      </w:r>
      <w:bookmarkEnd w:id="100001"/>
    </w:p>
    <w:p>
      <w:pPr>
        <w:pStyle w:val="Heading2"/>
        <w:spacing w:after="160" w:before="320" w:line="312"/>
      </w:pPr>
      <w:bookmarkStart w:id="100002" w:name="_Toc100002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2.1 Why This Pivot Makes Sense</w:t>
      </w:r>
      <w:bookmarkEnd w:id="10000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One agency at $49/seat with 8 members = $392/month vs 26 freelancers at $15/month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B2B churn is 3-5% vs B2C 15-25% — agencies are stickier and expand over time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Truth Layer is a B2B killer feature — agencies need proof of work to justify invoices to clients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Consolidation story: agencies use 8-12 tools ($500-1500/month), Axia replaces half at $49-149/month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Expansion revenue: agencies add seats, upgrade plans, buy white-label — freelancers don't</w:t>
      </w:r>
    </w:p>
    <w:p>
      <w:pPr>
        <w:pStyle w:val="Heading2"/>
        <w:spacing w:after="160" w:before="320" w:line="312"/>
      </w:pPr>
      <w:bookmarkStart w:id="100003" w:name="_Toc100003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2.2 Current vs Target State</w:t>
      </w:r>
      <w:bookmarkEnd w:id="100003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Current (80% B2C)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Target (80% B2B)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Primary Buyer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Individual freelancer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Agency owner / COO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Decision Maker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Single user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Team of 3-5 stakeholders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Avg Deal Value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$7-15/month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$99-499/month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Sales Cycle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Self-serve, minutes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Demo-driven, 2-6 weeks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Churn Rate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15-25%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3-5%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Expansion Revenue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Minimal (upgrade tier)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 (add seats, upgrade plan)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Key Value Prop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Don't get scammed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Prove your work, win more clients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Truth Layer Role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Dispute defense (reactive)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Client-proof billing (proactive)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Pricing Unit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Per user (flat)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Per seat (quantity-based)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Onboarding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Self-serve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Guided + white-glove for Agency+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Support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Community / email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Priority + dedicated CSM for Enterprise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Competitors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Time trackers, screenshot tools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Harvest, Hubstaff, Monday, Teamwork</w:t>
            </w:r>
          </w:p>
        </w:tc>
      </w:tr>
    </w:tbl>
    <w:p>
      <w:pPr>
        <w:pStyle w:val="Heading2"/>
        <w:spacing w:after="160" w:before="320" w:line="312"/>
      </w:pPr>
      <w:bookmarkStart w:id="100004" w:name="_Toc100004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2.3 New ICP — Three B2B Personas</w:t>
      </w:r>
      <w:bookmarkEnd w:id="100004"/>
    </w:p>
    <w:p>
      <w:pPr>
        <w:pStyle w:val="Heading3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D4875A"/>
          <w:sz w:val="26"/>
          <w:szCs w:val="26"/>
        </w:rPr>
        <w:t xml:space="preserve">2.3.1 Agency Owner (50% of B2B Revenue)</w:t>
      </w:r>
      <w:bookmarkEnd w:id="100005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3-25 person creative/marketing agency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Bills $20K-200K/month to clients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Loses 5-15% to scope creep (no proof of work)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Needs: proof of work for invoicing, scope protection, team oversight</w:t>
      </w:r>
    </w:p>
    <w:p>
      <w:pPr>
        <w:pStyle w:val="Heading3"/>
        <w:spacing w:after="120" w:before="240" w:line="312"/>
      </w:pPr>
      <w:bookmarkStart w:id="100006" w:name="_Toc100006"/>
      <w:r>
        <w:rPr>
          <w:rFonts w:ascii="Times New Roman" w:eastAsia="SimHei"/>
          <w:b/>
          <w:bCs/>
          <w:color w:val="D4875A"/>
          <w:sz w:val="26"/>
          <w:szCs w:val="26"/>
        </w:rPr>
        <w:t xml:space="preserve">2.3.2 Operations Manager / COO (25%)</w:t>
      </w:r>
      <w:bookmarkEnd w:id="100006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15-50 person agency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Manages 8-12 SaaS tools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Needs ROI justification for every tool, team utilization metrics</w:t>
      </w:r>
    </w:p>
    <w:p>
      <w:pPr>
        <w:pStyle w:val="Heading3"/>
        <w:spacing w:after="120" w:before="240" w:line="312"/>
      </w:pPr>
      <w:bookmarkStart w:id="100007" w:name="_Toc100007"/>
      <w:r>
        <w:rPr>
          <w:rFonts w:ascii="Times New Roman" w:eastAsia="SimHei"/>
          <w:b/>
          <w:bCs/>
          <w:color w:val="D4875A"/>
          <w:sz w:val="26"/>
          <w:szCs w:val="26"/>
        </w:rPr>
        <w:t xml:space="preserve">2.3.3 Small Business Owner with Contractors (25%)</w:t>
      </w:r>
      <w:bookmarkEnd w:id="100007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Non-agency business with 3-10 freelancers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Needs contractor accountability, proof of hours worked</w:t>
      </w:r>
    </w:p>
    <w:p>
      <w:pPr>
        <w:pStyle w:val="Heading2"/>
        <w:spacing w:after="160" w:before="320" w:line="312"/>
      </w:pPr>
      <w:bookmarkStart w:id="100008" w:name="_Toc100008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2.4 Pricing Strategy</w:t>
      </w:r>
      <w:bookmarkEnd w:id="100008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Seats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Key B2B Features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Free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$0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Solo freelancer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Basic time tracking, evidence collection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Starter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$12/user/mo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Small team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1-3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Team time tracking, shareable proofs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Pro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$29/user/mo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Growing agency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3-15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QuickBooks sync, team dashboards, client portal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Agency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$49/user/mo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Established agency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10-50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White-label, retainer mgmt, Slack integration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Enterprise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Custom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Large org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50+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API access, SSO, dedicated CSM</w:t>
            </w:r>
          </w:p>
        </w:tc>
      </w:tr>
    </w:tbl>
    <w:p>
      <w:pPr>
        <w:pStyle w:val="Heading1"/>
        <w:spacing w:after="200" w:before="400" w:line="312"/>
      </w:pPr>
      <w:bookmarkStart w:id="100009" w:name="_Toc100009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3. Codebase Gap Analysis — CRITICAL Priority (P0)</w:t>
      </w:r>
      <w:bookmarkEnd w:id="100009"/>
    </w:p>
    <w:p>
      <w:pPr>
        <w:spacing w:after="120" w:line="312"/>
        <w:rPr>
          <w:b/>
          <w:bCs/>
          <w:color w:val="B91C1C"/>
        </w:rPr>
      </w:pPr>
      <w:r>
        <w:rPr>
          <w:rFonts w:ascii="Calibri" w:eastAsia="Microsoft YaHei"/>
          <w:color w:val="1E293B"/>
          <w:sz w:val="24"/>
          <w:szCs w:val="24"/>
        </w:rPr>
        <w:t xml:space="preserve">These are hard blockers. B2B launch is impossible without them.</w:t>
      </w:r>
    </w:p>
    <w:p>
      <w:pPr>
        <w:pStyle w:val="Heading2"/>
        <w:spacing w:after="160" w:before="320" w:line="312"/>
      </w:pPr>
      <w:bookmarkStart w:id="100010" w:name="_Toc100010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3.1 Workspace/Organization Architecture</w:t>
      </w:r>
      <w:bookmarkEnd w:id="100010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PDF demands: </w:t>
      </w:r>
      <w:r>
        <w:rPr>
          <w:rFonts w:ascii="Calibri" w:eastAsia="Microsoft YaHei"/>
          <w:color w:val="475569"/>
          <w:sz w:val="24"/>
          <w:szCs w:val="24"/>
        </w:rPr>
        <w:t xml:space="preserve">Multi-user workspaces with Owner/Manager/Member roles, workspace-scoped data isolation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NOTHING. No workspaces table, no workspaceMembers, no roles. All 30+ tables use userId as sole ownership key. Teams.tsx is cosmetic with hardcoded mock members. getTeamMembers returns empty array. inviteTeamMember is a no-op.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New tables: workspaces, workspaceMembers (with roles: owner/admin/manager/member), workspaceInvitations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Add workspaceId to ALL existing tables (workSessions, timeBlocks, clients, projects, invoices, proposals, scopeDefinitions, pipelineStages, deals, evidenceSessions, etc.)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Every Convex query needs workspace-scoped variants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Workspace switcher UI, workspace settings page, member management page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Auth must track current workspace context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Data migration: existing userId-scoped data migrated to personal workspaces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Estimated effort: </w:t>
      </w:r>
      <w:r>
        <w:rPr>
          <w:rFonts w:ascii="Calibri" w:eastAsia="Microsoft YaHei"/>
          <w:color w:val="475569"/>
          <w:sz w:val="24"/>
          <w:szCs w:val="24"/>
        </w:rPr>
        <w:t xml:space="preserve">3-4 weeks</w:t>
      </w:r>
    </w:p>
    <w:p>
      <w:pPr>
        <w:pStyle w:val="Heading2"/>
        <w:spacing w:after="160" w:before="320" w:line="312"/>
      </w:pPr>
      <w:bookmarkStart w:id="100011" w:name="_Toc100011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3.2 Real Payment Processing (Stripe)</w:t>
      </w:r>
      <w:bookmarkEnd w:id="100011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PDF demands: </w:t>
      </w:r>
      <w:r>
        <w:rPr>
          <w:rFonts w:ascii="Calibri" w:eastAsia="Microsoft YaHei"/>
          <w:color w:val="475569"/>
          <w:sz w:val="24"/>
          <w:szCs w:val="24"/>
        </w:rPr>
        <w:t xml:space="preserve">Per-seat pricing with Stripe, annual billing, 20% discount, free onboarding for 10+ seats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Subscription page with 4 tiers, but tier management is localStorage only (localStorage.setItem('axia_subscription_tier', newTier)). No Stripe, no checkout, no webhooks. Pricing is per-user flat ($0/$9/$29/$79), not per-seat.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Stripe Checkout integration (subscription creation, customer portal, webhooks)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Per-seat pricing model (quantity-based subscriptions)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Annual billing with 20% discount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Trial management (14-day enforcement)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Invoice generation for subscriptions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Current tiers need restructuring: Free($0), Starter($12/user/mo), Pro($29/user/mo), Agency($49/user/mo), Enterprise(custom)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Estimated effort: </w:t>
      </w:r>
      <w:r>
        <w:rPr>
          <w:rFonts w:ascii="Calibri" w:eastAsia="Microsoft YaHei"/>
          <w:color w:val="475569"/>
          <w:sz w:val="24"/>
          <w:szCs w:val="24"/>
        </w:rPr>
        <w:t xml:space="preserve">2 weeks</w:t>
      </w:r>
    </w:p>
    <w:p>
      <w:pPr>
        <w:pStyle w:val="Heading2"/>
        <w:spacing w:after="160" w:before="320" w:line="312"/>
      </w:pPr>
      <w:bookmarkStart w:id="100012" w:name="_Toc100012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3.3 Team Time Tracking Aggregation</w:t>
      </w:r>
      <w:bookmarkEnd w:id="100012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PDF demands: </w:t>
      </w:r>
      <w:r>
        <w:rPr>
          <w:rFonts w:ascii="Calibri" w:eastAsia="Microsoft YaHei"/>
          <w:color w:val="475569"/>
          <w:sz w:val="24"/>
          <w:szCs w:val="24"/>
        </w:rPr>
        <w:t xml:space="preserve">Team dashboard aggregating time across all members for a project/client, who worked on what, how long, budget mapping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Individual time tracking works (workSessions, timeBlocks, TimeTracking.tsx with timer UI). But all queries filter by userId. No team aggregation. No project/client tagging with IDs (just string names). TimeTracking.tsx uses mock data.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Team time tracking view (aggregate hours across workspace members)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Team utilization reports (billable vs non-billable hours per member)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Project-based time aggregation (link time entries to projectId, not just strings)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Client-level time reporting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Manager time approval workflow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Budget tracking against logged hours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Estimated effort: </w:t>
      </w:r>
      <w:r>
        <w:rPr>
          <w:rFonts w:ascii="Calibri" w:eastAsia="Microsoft YaHei"/>
          <w:color w:val="475569"/>
          <w:sz w:val="24"/>
          <w:szCs w:val="24"/>
        </w:rPr>
        <w:t xml:space="preserve">1.5 weeks</w:t>
      </w:r>
    </w:p>
    <w:p>
      <w:pPr>
        <w:pStyle w:val="Heading2"/>
        <w:spacing w:after="160" w:before="320" w:line="312"/>
      </w:pPr>
      <w:bookmarkStart w:id="100013" w:name="_Toc100013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3.4 Team/Agency Reporting Dashboard</w:t>
      </w:r>
      <w:bookmarkEnd w:id="100013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PDF demands: </w:t>
      </w:r>
      <w:r>
        <w:rPr>
          <w:rFonts w:ascii="Calibri" w:eastAsia="Microsoft YaHei"/>
          <w:color w:val="475569"/>
          <w:sz w:val="24"/>
          <w:szCs w:val="24"/>
        </w:rPr>
        <w:t xml:space="preserve">Team utilization rate, client profitability, scope creep financial impact, invoice-to-payment time, proposal-to-close rate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Dashboard.tsx (individual), OwnerDashboard.tsx (MRR tracking with mock data), Reports.tsx (dispute reports with mock data). No team utilization. No client profitability. No workspace-level metrics.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Agency dashboard replacing OwnerDashboard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Team utilization widget (billable % per member)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Client profitability widget (revenue minus team cost)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Scope creep financial impact tracker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Invoice aging report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Proposal conversion funnel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All scoped to workspace, not user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Estimated effort: </w:t>
      </w:r>
      <w:r>
        <w:rPr>
          <w:rFonts w:ascii="Calibri" w:eastAsia="Microsoft YaHei"/>
          <w:color w:val="475569"/>
          <w:sz w:val="24"/>
          <w:szCs w:val="24"/>
        </w:rPr>
        <w:t xml:space="preserve">1.5 weeks</w:t>
      </w:r>
    </w:p>
    <w:p>
      <w:pPr>
        <w:pStyle w:val="Heading2"/>
        <w:spacing w:after="160" w:before="320" w:line="312"/>
      </w:pPr>
      <w:bookmarkStart w:id="100014" w:name="_Toc100014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3.5 Critical Integrations</w:t>
      </w:r>
      <w:bookmarkEnd w:id="100014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PDF demands: </w:t>
      </w:r>
      <w:r>
        <w:rPr>
          <w:rFonts w:ascii="Calibri" w:eastAsia="Microsoft YaHei"/>
          <w:color w:val="475569"/>
          <w:sz w:val="24"/>
          <w:szCs w:val="24"/>
        </w:rPr>
        <w:t xml:space="preserve">QuickBooks/Xero sync, Slack notifications, email delivery for follow-ups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Platform connections (Upwork/Fiverr/Toptal OAuth), Chrome extension for evidence, HTTP API for extension. NO accounting sync, NO Slack, NO email delivery. Follow-up reminders are scheduled but never sent.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QuickBooks Online integration (invoice sync, customer sync)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Xero integration (parallel to QuickBooks)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Slack integration (team notifications, scope alerts, project updates)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Email delivery system (transactional emails for invoices, proposals, follow-ups)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Stripe billing integration (listed above)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Estimated effort: </w:t>
      </w:r>
      <w:r>
        <w:rPr>
          <w:rFonts w:ascii="Calibri" w:eastAsia="Microsoft YaHei"/>
          <w:color w:val="475569"/>
          <w:sz w:val="24"/>
          <w:szCs w:val="24"/>
        </w:rPr>
        <w:t xml:space="preserve">2-3 weeks</w:t>
      </w:r>
    </w:p>
    <w:p>
      <w:pPr>
        <w:pStyle w:val="Heading1"/>
        <w:spacing w:after="200" w:before="400" w:line="312"/>
      </w:pPr>
      <w:bookmarkStart w:id="100015" w:name="_Toc100015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4. Codebase Gap Analysis — HIGH Priority (P1)</w:t>
      </w:r>
      <w:bookmarkEnd w:id="100015"/>
    </w:p>
    <w:p>
      <w:pPr>
        <w:pStyle w:val="Heading2"/>
        <w:spacing w:after="160" w:before="320" w:line="312"/>
      </w:pPr>
      <w:bookmarkStart w:id="100016" w:name="_Toc100016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4.1 Per-Seat Pricing Model</w:t>
      </w:r>
      <w:bookmarkEnd w:id="100016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Current: </w:t>
      </w:r>
      <w:r>
        <w:rPr>
          <w:rFonts w:ascii="Calibri" w:eastAsia="Microsoft YaHei"/>
          <w:color w:val="475569"/>
          <w:sz w:val="24"/>
          <w:szCs w:val="24"/>
        </w:rPr>
        <w:t xml:space="preserve">Flat per-user pricing ($0/$9/$29/$79)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PDF demands: </w:t>
      </w:r>
      <w:r>
        <w:rPr>
          <w:rFonts w:ascii="Calibri" w:eastAsia="Microsoft YaHei"/>
          <w:color w:val="475569"/>
          <w:sz w:val="24"/>
          <w:szCs w:val="24"/>
        </w:rPr>
        <w:t xml:space="preserve">Per-seat pricing with quantity. Free($0), Starter($12/user/mo), Pro($29/user/mo), Agency($49/user/mo), Enterprise(custom)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Changes: </w:t>
      </w:r>
      <w:r>
        <w:rPr>
          <w:rFonts w:ascii="Calibri" w:eastAsia="Microsoft YaHei"/>
          <w:color w:val="475569"/>
          <w:sz w:val="24"/>
          <w:szCs w:val="24"/>
        </w:rPr>
        <w:t xml:space="preserve">Restructure Subscription.tsx, implement seat counting, add billing for seat quantity changes, add annual toggle</w:t>
      </w:r>
    </w:p>
    <w:p>
      <w:pPr>
        <w:pStyle w:val="Heading2"/>
        <w:spacing w:after="160" w:before="320" w:line="312"/>
      </w:pPr>
      <w:bookmarkStart w:id="100017" w:name="_Toc100017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4.2 Client Portal — Real Auth + Shareable Proof Links</w:t>
      </w:r>
      <w:bookmarkEnd w:id="100017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ClientLogin.tsx, ClientSignup.tsx, ClientDashboard.tsx exist but use localStorage (no real auth). Client companies are a separate entity from users. No shareable proof links. No client-facing verification reports.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Real auth for clients (Convex Auth)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Shareable verification URLs (like proposals have publicToken)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Client-facing project progress view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Notification system for clients</w:t>
      </w:r>
    </w:p>
    <w:p>
      <w:pPr>
        <w:pStyle w:val="Heading2"/>
        <w:spacing w:after="160" w:before="320" w:line="312"/>
      </w:pPr>
      <w:bookmarkStart w:id="100018" w:name="_Toc100018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4.3 Pipeline Deal Assignment to Team Members</w:t>
      </w:r>
      <w:bookmarkEnd w:id="100018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Pipeline CRUD is functional (stages, deals, stats). But no assignedTo field on deals. No revenue forecasting. No client contact management.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assignedTo field on deals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Deal assignment UI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Revenue forecasting from pipeline data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Client contact enrichment</w:t>
      </w:r>
    </w:p>
    <w:p>
      <w:pPr>
        <w:pStyle w:val="Heading2"/>
        <w:spacing w:after="160" w:before="320" w:line="312"/>
      </w:pPr>
      <w:bookmarkStart w:id="100019" w:name="_Toc100019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4.4 Multi-Currency UI + Exchange Rates</w:t>
      </w:r>
      <w:bookmarkEnd w:id="100019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What exists: </w:t>
      </w:r>
      <w:r>
        <w:rPr>
          <w:rFonts w:ascii="Calibri" w:eastAsia="Microsoft YaHei"/>
          <w:color w:val="475569"/>
          <w:sz w:val="24"/>
          <w:szCs w:val="24"/>
        </w:rPr>
        <w:t xml:space="preserve">Currency field exists in schema (optional string) but no validation, no currency picker UI, no formatting, defaults to USD hardcoded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What must be built: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Currency picker component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Locale-aware formatting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Exchange rate API integration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4"/>
          <w:szCs w:val="24"/>
        </w:rPr>
        <w:t xml:space="preserve">Multi-currency reporting</w:t>
      </w:r>
    </w:p>
    <w:p>
      <w:pPr>
        <w:pStyle w:val="Heading2"/>
        <w:spacing w:after="160" w:before="320" w:line="312"/>
      </w:pPr>
      <w:bookmarkStart w:id="100020" w:name="_Toc100020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4.5 Workspace-Scoped Data Migration</w:t>
      </w:r>
      <w:bookmarkEnd w:id="100020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All existing data (30+ tables) is keyed by userId. When workspaces launch, every existing user's data must be migrated into a personal workspace. This is a one-time migration script.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Estimated effort: </w:t>
      </w:r>
      <w:r>
        <w:rPr>
          <w:rFonts w:ascii="Calibri" w:eastAsia="Microsoft YaHei"/>
          <w:color w:val="475569"/>
          <w:sz w:val="24"/>
          <w:szCs w:val="24"/>
        </w:rPr>
        <w:t xml:space="preserve">1 week</w:t>
      </w:r>
    </w:p>
    <w:p>
      <w:pPr>
        <w:pStyle w:val="Heading1"/>
        <w:spacing w:after="200" w:before="400" w:line="312"/>
      </w:pPr>
      <w:bookmarkStart w:id="100021" w:name="_Toc100021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5. Codebase Gap Analysis — MEDIUM Priority (P2)</w:t>
      </w:r>
      <w:bookmarkEnd w:id="100021"/>
    </w:p>
    <w:p>
      <w:pPr>
        <w:pStyle w:val="Heading2"/>
        <w:spacing w:after="160" w:before="320" w:line="312"/>
      </w:pPr>
      <w:bookmarkStart w:id="100022" w:name="_Toc100022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5.1 White-Label / Custom Branding for Agency Tier</w:t>
      </w:r>
      <w:bookmarkEnd w:id="100022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PDF demands: </w:t>
      </w:r>
      <w:r>
        <w:rPr>
          <w:rFonts w:ascii="Calibri" w:eastAsia="Microsoft YaHei"/>
          <w:color w:val="475569"/>
          <w:sz w:val="24"/>
          <w:szCs w:val="24"/>
        </w:rPr>
        <w:t xml:space="preserve">Agencies brand client portal with own logo, colors, domain</w:t>
      </w:r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Currently: </w:t>
      </w:r>
      <w:r>
        <w:rPr>
          <w:rFonts w:ascii="Calibri" w:eastAsia="Microsoft YaHei"/>
          <w:color w:val="475569"/>
          <w:sz w:val="24"/>
          <w:szCs w:val="24"/>
        </w:rPr>
        <w:t xml:space="preserve">No white-label support at all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Build: Custom CSS theming per workspace, custom domain mapping, logo/branding in client portal</w:t>
      </w:r>
    </w:p>
    <w:p>
      <w:pPr>
        <w:pStyle w:val="Heading2"/>
        <w:spacing w:after="160" w:before="320" w:line="312"/>
      </w:pPr>
      <w:bookmarkStart w:id="100023" w:name="_Toc100023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5.2 API Access for Custom Integrations</w:t>
      </w:r>
      <w:bookmarkEnd w:id="100023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Currently: </w:t>
      </w:r>
      <w:r>
        <w:rPr>
          <w:rFonts w:ascii="Calibri" w:eastAsia="Microsoft YaHei"/>
          <w:color w:val="475569"/>
          <w:sz w:val="24"/>
          <w:szCs w:val="24"/>
        </w:rPr>
        <w:t xml:space="preserve">Only extension-facing HTTP endpoints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Build: Public REST API with API keys, rate limiting, documentation (OpenAPI), webhook support</w:t>
      </w:r>
    </w:p>
    <w:p>
      <w:pPr>
        <w:pStyle w:val="Heading2"/>
        <w:spacing w:after="160" w:before="320" w:line="312"/>
      </w:pPr>
      <w:bookmarkStart w:id="100024" w:name="_Toc100024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5.3 Retainer Management Module</w:t>
      </w:r>
      <w:bookmarkEnd w:id="100024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Currently: </w:t>
      </w:r>
      <w:r>
        <w:rPr>
          <w:rFonts w:ascii="Calibri" w:eastAsia="Microsoft YaHei"/>
          <w:color w:val="475569"/>
          <w:sz w:val="24"/>
          <w:szCs w:val="24"/>
        </w:rPr>
        <w:t xml:space="preserve">No retainer tracking. Billing is project/invoice-based only.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Build: Monthly retainer creation, automatic hour deduction, retainer limit alerts, auto-invoice at retainer period start</w:t>
      </w:r>
    </w:p>
    <w:p>
      <w:pPr>
        <w:pStyle w:val="Heading2"/>
        <w:spacing w:after="160" w:before="320" w:line="312"/>
      </w:pPr>
      <w:bookmarkStart w:id="100025" w:name="_Toc100025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5.4 Team Capacity Planning</w:t>
      </w:r>
      <w:bookmarkEnd w:id="100025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Build: Per-member booked vs available hours view, project staffing recommendations, burnout alerts</w:t>
      </w:r>
    </w:p>
    <w:p>
      <w:pPr>
        <w:pStyle w:val="Heading2"/>
        <w:spacing w:after="160" w:before="320" w:line="312"/>
      </w:pPr>
      <w:bookmarkStart w:id="100026" w:name="_Toc100026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5.5 Client Health Score</w:t>
      </w:r>
      <w:bookmarkEnd w:id="100026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Build: Automated score based on payment speed, scope creep frequency, communication responsiveness, proposal acceptance rate</w:t>
      </w:r>
    </w:p>
    <w:p>
      <w:pPr>
        <w:pStyle w:val="Heading2"/>
        <w:spacing w:after="160" w:before="320" w:line="312"/>
      </w:pPr>
      <w:bookmarkStart w:id="100027" w:name="_Toc100027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5.6 Team Scope Alerts</w:t>
      </w:r>
      <w:bookmarkEnd w:id="100027"/>
    </w:p>
    <w:p>
      <w:pPr>
        <w:spacing w:after="80" w:line="312"/>
      </w:pPr>
      <w:r>
        <w:rPr>
          <w:rFonts w:ascii="Calibri" w:eastAsia="Microsoft YaHei"/>
          <w:b/>
          <w:bCs/>
          <w:color w:val="1E293B"/>
          <w:sz w:val="24"/>
          <w:szCs w:val="24"/>
        </w:rPr>
        <w:t xml:space="preserve">Currently: </w:t>
      </w:r>
      <w:r>
        <w:rPr>
          <w:rFonts w:ascii="Calibri" w:eastAsia="Microsoft YaHei"/>
          <w:color w:val="475569"/>
          <w:sz w:val="24"/>
          <w:szCs w:val="24"/>
        </w:rPr>
        <w:t xml:space="preserve">Scope protection is solid for individuals. No team-level alerts.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Build: Team-level scope alerts, retainer burn-down tracking, automatic change order generation when team exceeds scope</w:t>
      </w:r>
    </w:p>
    <w:p>
      <w:pPr>
        <w:pStyle w:val="Heading1"/>
        <w:spacing w:after="200" w:before="400" w:line="312"/>
      </w:pPr>
      <w:bookmarkStart w:id="100028" w:name="_Toc100028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6. What Already Works Well (Keep &amp; Enhance)</w:t>
      </w:r>
      <w:bookmarkEnd w:id="100028"/>
    </w:p>
    <w:p>
      <w:pPr>
        <w:pStyle w:val="Heading2"/>
        <w:spacing w:after="160" w:before="320" w:line="312"/>
      </w:pPr>
      <w:bookmarkStart w:id="100029" w:name="_Toc100029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6.1 Truth Layer / Evidence System — RATING: 5/5</w:t>
      </w:r>
      <w:bookmarkEnd w:id="100029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Evidence sessions, WCVM context scanner, verification signatures, dispute reports, Chrome extension — all functional and genuinely competitive. This is the hardest feature to build and Axia has it working.</w:t>
      </w:r>
    </w:p>
    <w:p>
      <w:pPr>
        <w:spacing w:after="120" w:line="312"/>
        <w:rPr>
          <w:b/>
          <w:bCs/>
        </w:rPr>
      </w:pPr>
      <w:r>
        <w:rPr>
          <w:rFonts w:ascii="Calibri" w:eastAsia="Microsoft YaHei"/>
          <w:color w:val="1E293B"/>
          <w:sz w:val="24"/>
          <w:szCs w:val="24"/>
        </w:rPr>
        <w:t xml:space="preserve">ONLY needs: shareable proof links (publicToken like proposals), workspace scoping</w:t>
      </w:r>
    </w:p>
    <w:p>
      <w:pPr>
        <w:pStyle w:val="Heading2"/>
        <w:spacing w:after="160" w:before="320" w:line="312"/>
      </w:pPr>
      <w:bookmarkStart w:id="100030" w:name="_Toc100030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6.2 Scope Creep Protection — RATING: 5/5</w:t>
      </w:r>
      <w:bookmarkEnd w:id="100030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Scope definitions, change orders, client approval via approvalToken, scope formalization — all solid.</w:t>
      </w:r>
    </w:p>
    <w:p>
      <w:pPr>
        <w:spacing w:after="120" w:line="312"/>
        <w:rPr>
          <w:b/>
          <w:bCs/>
        </w:rPr>
      </w:pPr>
      <w:r>
        <w:rPr>
          <w:rFonts w:ascii="Calibri" w:eastAsia="Microsoft YaHei"/>
          <w:color w:val="1E293B"/>
          <w:sz w:val="24"/>
          <w:szCs w:val="24"/>
        </w:rPr>
        <w:t xml:space="preserve">ONLY needs: team-level alerts, workspace scoping</w:t>
      </w:r>
    </w:p>
    <w:p>
      <w:pPr>
        <w:pStyle w:val="Heading2"/>
        <w:spacing w:after="160" w:before="320" w:line="312"/>
      </w:pPr>
      <w:bookmarkStart w:id="100031" w:name="_Toc100031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6.3 Proposals System — RATING: 5/5</w:t>
      </w:r>
      <w:bookmarkEnd w:id="100031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Full CRUD, public client view via publicToken, e-signature, templates, follow-up automation, stats — most B2B-ready feature.</w:t>
      </w:r>
    </w:p>
    <w:p>
      <w:pPr>
        <w:spacing w:after="120" w:line="312"/>
        <w:rPr>
          <w:b/>
          <w:bCs/>
        </w:rPr>
      </w:pPr>
      <w:r>
        <w:rPr>
          <w:rFonts w:ascii="Calibri" w:eastAsia="Microsoft YaHei"/>
          <w:color w:val="1E293B"/>
          <w:sz w:val="24"/>
          <w:szCs w:val="24"/>
        </w:rPr>
        <w:t xml:space="preserve">ONLY needs: collaborative editing, workspace scoping, template library per workspace</w:t>
      </w:r>
    </w:p>
    <w:p>
      <w:pPr>
        <w:pStyle w:val="Heading2"/>
        <w:spacing w:after="160" w:before="320" w:line="312"/>
      </w:pPr>
      <w:bookmarkStart w:id="100032" w:name="_Toc100032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6.4 Billing System — RATING: 4/5</w:t>
      </w:r>
      <w:bookmarkEnd w:id="100032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Invoice CRUD, work links, payment reminders, stats, currency field — solid foundation.</w:t>
      </w:r>
    </w:p>
    <w:p>
      <w:pPr>
        <w:spacing w:after="120" w:line="312"/>
        <w:rPr>
          <w:b/>
          <w:bCs/>
        </w:rPr>
      </w:pPr>
      <w:r>
        <w:rPr>
          <w:rFonts w:ascii="Calibri" w:eastAsia="Microsoft YaHei"/>
          <w:color w:val="1E293B"/>
          <w:sz w:val="24"/>
          <w:szCs w:val="24"/>
        </w:rPr>
        <w:t xml:space="preserve">Needs: QuickBooks/Xero sync, multi-client billing from workspace, real payment reminders (email delivery)</w:t>
      </w:r>
    </w:p>
    <w:p>
      <w:pPr>
        <w:pStyle w:val="Heading2"/>
        <w:spacing w:after="160" w:before="320" w:line="312"/>
      </w:pPr>
      <w:bookmarkStart w:id="100033" w:name="_Toc100033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6.5 Pipeline / CRM — RATING: 4/5</w:t>
      </w:r>
      <w:bookmarkEnd w:id="100033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Stages, deals, stats, currency, source tracking — functional.</w:t>
      </w:r>
    </w:p>
    <w:p>
      <w:pPr>
        <w:spacing w:after="120" w:line="312"/>
        <w:rPr>
          <w:b/>
          <w:bCs/>
        </w:rPr>
      </w:pPr>
      <w:r>
        <w:rPr>
          <w:rFonts w:ascii="Calibri" w:eastAsia="Microsoft YaHei"/>
          <w:color w:val="1E293B"/>
          <w:sz w:val="24"/>
          <w:szCs w:val="24"/>
        </w:rPr>
        <w:t xml:space="preserve">Needs: deal assignment, revenue forecasting, client contact management</w:t>
      </w:r>
    </w:p>
    <w:p>
      <w:pPr>
        <w:pStyle w:val="Heading2"/>
        <w:spacing w:after="160" w:before="320" w:line="312"/>
      </w:pPr>
      <w:bookmarkStart w:id="100034" w:name="_Toc100034"/>
      <w:r>
        <w:rPr>
          <w:rFonts w:ascii="Times New Roman" w:eastAsia="SimHei"/>
          <w:b/>
          <w:bCs/>
          <w:color w:val="1E293B"/>
          <w:sz w:val="28"/>
          <w:szCs w:val="28"/>
        </w:rPr>
        <w:t xml:space="preserve">6.6 Client Portal Skeleton — RATING: 3/5</w:t>
      </w:r>
      <w:bookmarkEnd w:id="100034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Login, signup, dashboard, WCVM verification, freelancer directory, verification requests — UI exists.</w:t>
      </w:r>
    </w:p>
    <w:p>
      <w:pPr>
        <w:spacing w:after="120" w:line="312"/>
        <w:rPr>
          <w:b/>
          <w:bCs/>
        </w:rPr>
      </w:pPr>
      <w:r>
        <w:rPr>
          <w:rFonts w:ascii="Calibri" w:eastAsia="Microsoft YaHei"/>
          <w:color w:val="1E293B"/>
          <w:sz w:val="24"/>
          <w:szCs w:val="24"/>
        </w:rPr>
        <w:t xml:space="preserve">Needs: Real auth (not localStorage), shareable proof links, project progress view</w:t>
      </w:r>
    </w:p>
    <w:p>
      <w:pPr>
        <w:pStyle w:val="Heading1"/>
        <w:spacing w:after="200" w:before="400" w:line="312"/>
      </w:pPr>
      <w:bookmarkStart w:id="100035" w:name="_Toc100035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7. 90-Day Implementation Roadmap</w:t>
      </w:r>
      <w:bookmarkEnd w:id="100035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Product Focus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Sales/Marketing Focus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Phase 1 — Foundation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Week 1-4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Workspace architecture (workspaces, members, roles, invitations); Add workspaceId to all tables, data migration; Workspace switcher UI, settings page; Stripe integration with per-seat pricing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Create B2B landing page, ROI calculator, demo script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Multi-user workspace in beta; 10 demo bookings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Phase 2 — Launch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Week 5-8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Client portal v1 with real auth and shareable proof links; Team time tracking aggregation; Team reporting dashboard; QuickBooks integration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Launch B2B pricing; Outbound to 50 agencies/week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5 paying agencies on Pro/Agency tier; $2K MRR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Phase 3 — Scale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Week 9-12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White-label for Agency tier; Slack integration; Team-level scope creep alerts; Agency referral program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G2/Capterra listings; 2 published case studies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15 paying agencies; $8K MRR; 2 referrals/week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Phase 4 — Expand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Month 4+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API access; Retainer management; Capacity planning; Client health score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Hire first SDR; Attend agency conferences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30+ agencies; $20K+ MRR; &lt;5% monthly churn</w:t>
            </w:r>
          </w:p>
        </w:tc>
      </w:tr>
    </w:tbl>
    <w:p>
      <w:pPr>
        <w:pStyle w:val="Heading1"/>
        <w:spacing w:after="200" w:before="400" w:line="312"/>
      </w:pPr>
      <w:bookmarkStart w:id="100036" w:name="_Toc100036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8. Risk Assessment</w:t>
      </w:r>
      <w:bookmarkEnd w:id="100036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Workspace architecture takes too long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Prioritize ruthlessly: workspaces + members + roles first. Ship minimum, iterate.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Agencies don't convert from waitlist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Do 20 discovery calls BEFORE building. Validate ICP.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Competitors add verification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Low (12+ months)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Move fast. Ship client portal before anyone starts building it.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Pricing too high for Indian market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Consider India-specific pricing (40-50% discount for India-registered businesses).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Freelancer users feel abandoned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Low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Keep Free/Starter tiers untouched. Add 'Growing team?' prompt.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Sales cycle too long for early startup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Target micro-agencies (3-5 people) first. They decide in days.</w:t>
            </w:r>
          </w:p>
        </w:tc>
      </w:tr>
      <w:tr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Churn in first 3 months (teams revert)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shd w:fill="F8F0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line="312"/>
            </w:pPr>
            <w:r>
              <w:rPr>
                <w:rFonts w:ascii="Calibri" w:eastAsia="Microsoft YaHei"/>
                <w:color w:val="1E293B"/>
                <w:sz w:val="21"/>
                <w:szCs w:val="21"/>
              </w:rPr>
              <w:t xml:space="preserve">Invest heavily in onboarding. First 30 days = hand-holding. Check in weekly.</w:t>
            </w:r>
          </w:p>
        </w:tc>
      </w:tr>
    </w:tbl>
    <w:p>
      <w:pPr>
        <w:pStyle w:val="Heading1"/>
        <w:spacing w:after="200" w:before="400" w:line="312"/>
      </w:pPr>
      <w:bookmarkStart w:id="100037" w:name="_Toc100037"/>
      <w:r>
        <w:rPr>
          <w:rFonts w:ascii="Times New Roman" w:eastAsia="SimHei"/>
          <w:b/>
          <w:bCs/>
          <w:color w:val="0F172A"/>
          <w:sz w:val="32"/>
          <w:szCs w:val="32"/>
        </w:rPr>
        <w:t xml:space="preserve">9. The Bottom Line</w:t>
      </w:r>
      <w:bookmarkEnd w:id="100037"/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Axia already has the hardest feature to build: the Truth Layer. The B2B pivot is primarily about adding multi-user capabilities and repositioning what already exists. This is not starting from scratch — it's taking the strongest asset (work verification) and pointing it at the audience that values it most (agencies losing real money without proof of work). The competitive moat is real: no other tool offers automated work verification that creates client-proof billing. That's not a feature — it's a category.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The total estimated effort for CRITICAL items is 10-12 weeks. With HIGH priority items, 14-16 weeks. The recommended approach is the 90-day roadmap: ship workspaces first, then client portal, then scale. The key is to not try to build everything before launch — get workspaces + Stripe + basic team reporting working, and start selling. The Truth Layer and scope protection will close deals on their own.</w:t>
      </w:r>
    </w:p>
    <w:p>
      <w:pPr>
        <w:spacing w:after="120" w:line="312"/>
      </w:pPr>
      <w:r>
        <w:rPr>
          <w:rFonts w:ascii="Calibri" w:eastAsia="Microsoft YaHei"/>
          <w:color w:val="1E293B"/>
          <w:sz w:val="24"/>
          <w:szCs w:val="24"/>
        </w:rPr>
        <w:t xml:space="preserve">The key insight from the PDF that should guide every decision: 'The Truth Layer is your #1 competitive advantage in B2B. No other tool offers automated work verification that creates client-proof billing. Lead with this in EVERY sales conversation, demo, and piece of marketing material.' This isn't just a positioning statement — it's the entire product strategy in one sentence. Every feature decision, every sales pitch, every marketing asset should reinforce this truth.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E293B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eastAsia="SimHei"/>
      <w:b/>
      <w:bCs/>
      <w:color w:val="0F172A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Times New Roman" w:eastAsia="SimHei"/>
      <w:b/>
      <w:bCs/>
      <w:color w:val="1E293B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Times New Roman" w:eastAsia="SimHei"/>
      <w:b/>
      <w:bCs/>
      <w:color w:val="D4875A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2026-06-02T10:53:53.399Z</dcterms:created>
  <dcterms:modified xsi:type="dcterms:W3CDTF">2026-06-02T10:53:53.399Z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