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sz w:val="28"/>
          <w:szCs w:val="28"/>
        </w:rPr>
        <w:t xml:space="preserve">SUPPORTABILITY ENGINEERING</w:t>
      </w:r>
    </w:p>
    <w:p>
      <w:pPr>
        <w:spacing w:after="200"/>
        <w:jc w:val="center"/>
      </w:pPr>
      <w:r>
        <w:rPr>
          <w:b/>
          <w:bCs/>
          <w:color w:val="0F2340"/>
          <w:sz w:val="36"/>
          <w:szCs w:val="36"/>
        </w:rPr>
        <w:t xml:space="preserve">C-Prefix Compliance Extension Templates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Six Companion Templates for Vol. 5 — Compliance by Design</w:t>
      </w:r>
    </w:p>
    <w:p>
      <w:pPr>
        <w:spacing w:after="800"/>
        <w:jc w:val="center"/>
      </w:pPr>
      <w:r>
        <w:rPr>
          <w:sz w:val="22"/>
          <w:szCs w:val="22"/>
        </w:rPr>
        <w:t xml:space="preserve">John A. Bowman  |  Supportability Engineering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Framework 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John A. Bowman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Companion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Vol. 5 — Compliance by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 —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Confidential — Consulting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dooohhead@gmail.com  |  902-489-2429</w:t>
            </w:r>
          </w:p>
        </w:tc>
      </w:tr>
    </w:tbl>
    <w:p>
      <w:pPr>
        <w:spacing w:after="300"/>
      </w:pPr>
    </w:p>
    <w:p>
      <w:pPr>
        <w:pStyle w:val="Heading2"/>
        <w:spacing w:after="140" w:before="280"/>
      </w:pPr>
      <w:r>
        <w:t xml:space="preserve">Template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Extends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C-SRD — Compliance Requirements Document Extension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SRD (Phase 1 — Requirements)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C-SAR — Compliance Architecture Review Extension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SAR (Phase 2 — Design)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C-SIC — Compliance Implementation Checklist Extension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SIC (Phase 3 — Build)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C-STP — Compliance Test Plan Extension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STP (Phase 4 — Test)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C-SRR — Compliance Readiness Review Extension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SRR (Phase 5 — Release)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C-SFL — Compliance Feedback Loop Extension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SFL (Phase 6 — Operate)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</w:rPr>
        <w:t xml:space="preserve">These six templates attach to the base SE deliverable at each phase. They do not replace the base SRD, SAR, SIC, STP, SRR, or SFL — they extend it for features in scope of one or more regulated compliance frameworks. Activate only the extensions a feature's scope profile requires (see Vol. 5, Section 5).</w:t>
      </w:r>
    </w:p>
    <w:p>
      <w:r>
        <w:br w:type="page"/>
      </w:r>
    </w:p>
    <w:p>
      <w:pPr>
        <w:pStyle w:val="Heading1"/>
        <w:pageBreakBefore/>
        <w:spacing w:after="200" w:before="360"/>
      </w:pPr>
      <w:r>
        <w:t xml:space="preserve">TEMPLATE 1: C-SRD — COMPLIANCE REQUIREMENTS DOCUMENT EXTENSION</w:t>
      </w:r>
    </w:p>
    <w:p>
      <w:pPr>
        <w:spacing w:after="200"/>
      </w:pPr>
      <w:r>
        <w:rPr>
          <w:i/>
          <w:iCs/>
          <w:color w:val="555555"/>
        </w:rPr>
        <w:t xml:space="preserve">Purpose: Expands SRD §1.8 into a full compliance requirements section. Activated when a feature's scope profile triggers one or more regulated frameworks. Compliance officer or DPO signs off before design proceeds — this is the compliance equivalent of the support lead gate.</w:t>
      </w:r>
    </w:p>
    <w:p>
      <w:pPr>
        <w:pStyle w:val="Heading2"/>
        <w:spacing w:after="140" w:before="280"/>
      </w:pPr>
      <w:r>
        <w:t xml:space="preserve">1.1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Base SRD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C-SRD 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Compliance Officer / DPO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1.2  Applicable Framework Identification</w:t>
      </w:r>
    </w:p>
    <w:p>
      <w:pPr>
        <w:spacing w:after="160"/>
      </w:pPr>
      <w:r>
        <w:t xml:space="preserve">Identify every framework that applies to this feature and the specific control references triggered by its data handling, user access, AI involvement, or financial system involvement.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9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 References Triggered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SOC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ISO 27001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ISO 42001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FedRAMP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1.3  Data Classification</w:t>
      </w:r>
    </w:p>
    <w:p>
      <w:pPr>
        <w:spacing w:after="160"/>
      </w:pPr>
      <w:r>
        <w:t xml:space="preserve">Formal classification of all data this feature processes, stores, or transmits. Not a yes/no flag — category, sensitivity, residency, and retention.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00"/>
        <w:gridCol w:w="156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Sensitivity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Residency Constraint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Retention 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PII / Financial / Health / Other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/ Medium / High /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PII / Financial / Health / Other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/ Medium / High /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PII / Financial / Health / Other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/ Medium / High /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PII / Financial / Health / Other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/ Medium / High /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PII / Financial / Health / Other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/ Medium / High /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1.4  DPIA / AI Impact Trigger Assessment</w:t>
      </w:r>
    </w:p>
    <w:p>
      <w:pPr>
        <w:spacing w:after="160"/>
      </w:pPr>
      <w:r>
        <w:t xml:space="preserve">For GDPR-regulated features: determine whether a Data Protection Impact Assessment is required. For features involving an AI system: determine whether an AI impact assessment under ISO 42001 is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If Yes — Status / Owner / Target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GDPR Data Protection Impact Assessment (DPIA)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ISO 42001 AI Impact Assessment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1.5  Regulatory Notification Obligations</w:t>
      </w:r>
    </w:p>
    <w:p>
      <w:pPr>
        <w:spacing w:after="160"/>
      </w:pPr>
      <w:r>
        <w:t xml:space="preserve">Pre-identify which notification paths apply, before an incident makes the question urgent.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 Condition / Timeline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GDPR breach notification (72 hours)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SOX material weakness reporting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FedRAMP incident reporting (US-CERT)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Other regulatory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1.6  Compliance Sign-Off</w:t>
      </w:r>
    </w:p>
    <w:p>
      <w:pPr>
        <w:spacing w:after="200"/>
      </w:pPr>
      <w:r>
        <w:rPr>
          <w:i/>
          <w:iCs/>
          <w:color w:val="555555"/>
        </w:rPr>
        <w:t xml:space="preserve">Compliance requirements must be complete and correctly identified before design proceeds. Outstanding items are resolved, not carried forward.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Officer / DPO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TEMPLATE 2: C-SAR — COMPLIANCE ARCHITECTURE REVIEW EXTENSION</w:t>
      </w:r>
    </w:p>
    <w:p>
      <w:pPr>
        <w:spacing w:after="200"/>
      </w:pPr>
      <w:r>
        <w:rPr>
          <w:i/>
          <w:iCs/>
          <w:color w:val="555555"/>
        </w:rPr>
        <w:t xml:space="preserve">Purpose: Extends the SAR to compliance-specific architectural requirements — data flow mapping, encryption controls, compliance blind spots, and audit trail integrity. Open items become mandatory build acceptance criteria, same as the base SAR.</w:t>
      </w:r>
    </w:p>
    <w:p>
      <w:pPr>
        <w:pStyle w:val="Heading2"/>
        <w:spacing w:after="140" w:before="280"/>
      </w:pPr>
      <w:r>
        <w:t xml:space="preserve">2.1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Base SAR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C-SRD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Architecture 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Compliance Reviewer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2.2  Data Flow Mapping</w:t>
      </w:r>
    </w:p>
    <w:p>
      <w:pPr>
        <w:spacing w:after="160"/>
      </w:pPr>
      <w:r>
        <w:t xml:space="preserve">Where personal or regulated data flows within the architecture. Required for GDPR Article 30 records of processing activities.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80"/>
        <w:gridCol w:w="1880"/>
        <w:gridCol w:w="16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Storage Location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Processing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Exit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Regulated?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</w:tbl>
    <w:p>
      <w:pPr>
        <w:pStyle w:val="Heading2"/>
        <w:spacing w:after="140" w:before="280"/>
      </w:pPr>
      <w:r>
        <w:t xml:space="preserve">2.3  Encryption and Data Protection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80"/>
        <w:gridCol w:w="188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Handled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Encrypted in Transit?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Encrypted at Rest?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Exposure Point?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</w:tbl>
    <w:p>
      <w:pPr>
        <w:pStyle w:val="Heading2"/>
        <w:spacing w:after="140" w:before="280"/>
      </w:pPr>
      <w:r>
        <w:t xml:space="preserve">2.4  Compliance Blind Spots</w:t>
      </w:r>
    </w:p>
    <w:p>
      <w:pPr>
        <w:spacing w:after="160"/>
      </w:pPr>
      <w:r>
        <w:t xml:space="preserve">Architectural points where compliance-relevant events — data access, privilege escalation, configuration change, model inference — are not observable. These are added to the base SAR observability gap list with compliance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60"/>
        <w:gridCol w:w="1560"/>
        <w:gridCol w:w="33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Compliance-Relevant Event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Observable?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 (H/M/L)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Added to Gap List? / Backlog Ref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2.5  Audit Trail Integrity</w:t>
      </w:r>
    </w:p>
    <w:p>
      <w:pPr>
        <w:spacing w:after="160"/>
      </w:pPr>
      <w:r>
        <w:t xml:space="preserve">Required for SOX, FedRAMP, and ISO 27001 / ISO 42001.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Integrity Criterion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 chain is tamper-evident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 chain is complete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 chain is independently verifiable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2.6  Sign-Off</w:t>
      </w:r>
    </w:p>
    <w:p>
      <w:pPr>
        <w:spacing w:after="200"/>
      </w:pPr>
      <w:r>
        <w:rPr>
          <w:i/>
          <w:iCs/>
          <w:color w:val="555555"/>
        </w:rPr>
        <w:t xml:space="preserve">All High priority compliance blind spots must be resolved or have a documented remediation plan before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Security Reviewer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TEMPLATE 3: C-SIC — COMPLIANCE IMPLEMENTATION CHECKLIST EXTENSION</w:t>
      </w:r>
    </w:p>
    <w:p>
      <w:pPr>
        <w:spacing w:after="200"/>
      </w:pPr>
      <w:r>
        <w:rPr>
          <w:i/>
          <w:iCs/>
          <w:color w:val="555555"/>
        </w:rPr>
        <w:t xml:space="preserve">Purpose: Adds a compliance verification gate to the PR review process. For features touching regulated data or an AI system in ISO 42001 scope, a compliance-aware reviewer signs in addition to the standard code reviewer.</w:t>
      </w:r>
    </w:p>
    <w:p>
      <w:pPr>
        <w:pStyle w:val="Heading2"/>
        <w:spacing w:after="140" w:before="280"/>
      </w:pPr>
      <w:r>
        <w:t xml:space="preserve">3.1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Base SIC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C-SRD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Developer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 / Ticket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Compliance Reviewer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3.2  Regulated Data in Logs — Zero Tolerance</w:t>
      </w:r>
    </w:p>
    <w:p>
      <w:pPr>
        <w:spacing w:after="160"/>
      </w:pPr>
      <w:r>
        <w:t xml:space="preserve">Checked explicitly for each regulated data category identified in the C-SRD. The reviewer signs off on each category individually.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1560"/>
        <w:gridCol w:w="30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Regulated Data Category (from C-SRD §1.3)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Checked?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Clear?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3.3  Audit Event Completeness</w:t>
      </w:r>
    </w:p>
    <w:p>
      <w:pPr>
        <w:spacing w:after="160"/>
      </w:pPr>
      <w:r>
        <w:t xml:space="preserve">Every compliance-relevant event identified in the C-SRD is instrumented and verified at the code level — the specific events required by the applicable frameworks, not just general logging standards.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560"/>
        <w:gridCol w:w="26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Compliance-Relevant Event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Instrumented?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Framework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3.4  Data Retention and Deletion</w:t>
      </w:r>
    </w:p>
    <w:p>
      <w:pPr>
        <w:spacing w:after="160"/>
      </w:pPr>
      <w:r>
        <w:t xml:space="preserve">If the feature stores regulated data, the retention policy is implemented and the deletion mechanism is tested. GDPR right-to-erasure compliance begins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Implemented?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Retention policy enforced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Deletion mechanism (right to erasure)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3.5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560"/>
        <w:gridCol w:w="21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Not Completed — Reason / Justification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3.6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 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Reviewer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TEMPLATE 4: C-STP — COMPLIANCE TEST PLAN EXTENSION</w:t>
      </w:r>
    </w:p>
    <w:p>
      <w:pPr>
        <w:spacing w:after="200"/>
      </w:pPr>
      <w:r>
        <w:rPr>
          <w:i/>
          <w:iCs/>
          <w:color w:val="555555"/>
        </w:rPr>
        <w:t xml:space="preserve">Purpose: Extends the STP to validate compliance control effectiveness, not just operational readiness. Produces a signed evidence package that functions directly as audit evidence.</w:t>
      </w:r>
    </w:p>
    <w:p>
      <w:pPr>
        <w:pStyle w:val="Heading2"/>
        <w:spacing w:after="140" w:before="280"/>
      </w:pPr>
      <w:r>
        <w:t xml:space="preserve">4.1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Base STP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C-SRD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Compliance Tester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Execution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4.2  Compliance Scenario Testing</w:t>
      </w:r>
    </w:p>
    <w:p>
      <w:pPr>
        <w:spacing w:after="160"/>
      </w:pPr>
      <w:r>
        <w:t xml:space="preserve">Deliberately trigger each compliance-relevant failure mode: data exposure attempt, privilege escalation attempt, configuration change without approval, regulatory notification trigger, unverified or low-confidence AI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320"/>
        <w:gridCol w:w="1320"/>
        <w:gridCol w:w="1320"/>
        <w:gridCol w:w="1320"/>
        <w:gridCol w:w="12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Triggered?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Detected?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Logged?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Correct?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Yes/No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4.3  72-Hour Notification Rehearsal (GDPR)</w:t>
      </w:r>
    </w:p>
    <w:p>
      <w:pPr>
        <w:spacing w:after="160"/>
      </w:pPr>
      <w:r>
        <w:t xml:space="preserve">For GDPR-regulated features only. The on-call simulation explicitly rehearses the breach detection-to-notification path with the simulation timer set to 72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Simulation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Detection Time (T+0)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DPO Notification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Elapsed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DPO Notification Step Verified?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Gaps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4.4  Audit Log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Criterion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logs complete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logs tamper-evident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logs correctly formatted for applicable frameworks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Retention period correctly configured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4.5  Evidence Package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Location /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Compliance Scenario Testing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 / Fail / Partial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72-Hour Notification Rehearsal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 / Fail / N/A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 Verification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 / Fail / Partial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OVERALL RECOMMENDATION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APPROVED / BLOCKED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4.6  Sign-Off</w:t>
      </w:r>
    </w:p>
    <w:p>
      <w:pPr>
        <w:spacing w:after="200"/>
      </w:pPr>
      <w:r>
        <w:rPr>
          <w:i/>
          <w:iCs/>
          <w:color w:val="555555"/>
        </w:rPr>
        <w:t xml:space="preserve">Release is blocked if the overall recommendation is BLOCKED. All failing items must be remediated and re-tested before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Tester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TEMPLATE 5: C-SRR — COMPLIANCE READINESS REVIEW EXTENSION</w:t>
      </w:r>
    </w:p>
    <w:p>
      <w:pPr>
        <w:spacing w:after="200"/>
      </w:pPr>
      <w:r>
        <w:rPr>
          <w:i/>
          <w:iCs/>
          <w:color w:val="555555"/>
        </w:rPr>
        <w:t xml:space="preserve">Purpose: Adds a compliance readiness confirmation to the dual sign-off. Three parties now confirm go-live readiness: Support Lead, Engineering Lead, and Compliance. This is the change approval record for regulated environments.</w:t>
      </w:r>
    </w:p>
    <w:p>
      <w:pPr>
        <w:pStyle w:val="Heading2"/>
        <w:spacing w:after="140" w:before="280"/>
      </w:pPr>
      <w:r>
        <w:t xml:space="preserve">5.1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Target Release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Base SRR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C-SRD / C-SAR / C-SIC / C-STP Reference Numbers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Compliance Officer / DPO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5.2  Regulatory Notification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Confirmation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GDPR 72-hour breach notification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SOX material weakness reporting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FedRAMP incident reporting to US-CERT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5.3  Data Processing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Article 30 records of processing activities updated for this 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 / 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5.4  Audit Evidence Package Completeness</w:t>
      </w:r>
    </w:p>
    <w:p>
      <w:pPr>
        <w:spacing w:after="160"/>
      </w:pPr>
      <w:r>
        <w:t xml:space="preserve">All C- prefix deliverables from C-SRD through C-STP must be signed, version-controlled, and stored in the designated audit evidence repository before the feature 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Signed?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Stored?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Repository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C-STP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5.5  Outstanding Items</w:t>
      </w:r>
    </w:p>
    <w:p>
      <w:pPr>
        <w:spacing w:after="200"/>
      </w:pPr>
      <w:r>
        <w:rPr>
          <w:i/>
          <w:iCs/>
          <w:color w:val="555555"/>
        </w:rPr>
        <w:t xml:space="preserve">This table must be empty for release to be approved. Any outstanding item triggers a BLOCKED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560"/>
        <w:gridCol w:w="21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Outstanding 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 Required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5.6  Compliance Release Decision</w:t>
      </w:r>
    </w:p>
    <w:p>
      <w:pPr>
        <w:spacing w:after="160"/>
      </w:pPr>
      <w:r>
        <w:t xml:space="preserve">  □  APPROVED FOR RELEASE — All compliance items complete, no outstanding issues.</w:t>
      </w:r>
    </w:p>
    <w:p>
      <w:pPr>
        <w:spacing w:after="160"/>
      </w:pPr>
      <w:r>
        <w:t xml:space="preserve">  □  CONDITIONAL APPROVAL — Released with the following accepted compliance risks (document below):</w:t>
      </w:r>
    </w:p>
    <w:p>
      <w:pPr>
        <w:spacing w:after="160"/>
      </w:pPr>
      <w:r>
        <w:t xml:space="preserve">  □  BLOCKED — Outstanding compliance items must be resolved and re-reviewed before release.</w:t>
      </w:r>
    </w:p>
    <w:p>
      <w:pPr>
        <w:pStyle w:val="Heading2"/>
        <w:spacing w:after="140" w:before="280"/>
      </w:pPr>
      <w:r>
        <w:t xml:space="preserve">5.7  Sign-Off</w:t>
      </w:r>
    </w:p>
    <w:p>
      <w:pPr>
        <w:spacing w:after="200"/>
      </w:pPr>
      <w:r>
        <w:rPr>
          <w:i/>
          <w:iCs/>
          <w:color w:val="555555"/>
        </w:rPr>
        <w:t xml:space="preserve">Support Lead, Engineering Lead, and Compliance Officer / DPO must all sign. Release does not proceed without all three signatures.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Officer / DPO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TEMPLATE 6: C-SFL — COMPLIANCE FEEDBACK LOOP EXTENSION</w:t>
      </w:r>
    </w:p>
    <w:p>
      <w:pPr>
        <w:spacing w:after="200"/>
      </w:pPr>
      <w:r>
        <w:rPr>
          <w:i/>
          <w:iCs/>
          <w:color w:val="555555"/>
        </w:rPr>
        <w:t xml:space="preserve">Purpose: Adds a compliance dimension to incident scoring and the quarterly review. Every incident is assessed for compliance implications at the time of scoring, not retrospectively.</w:t>
      </w:r>
    </w:p>
    <w:p>
      <w:pPr>
        <w:pStyle w:val="Heading2"/>
        <w:spacing w:after="140" w:before="280"/>
      </w:pPr>
      <w:r>
        <w:t xml:space="preserve">6.1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Review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Base SFL Reference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Compliance Representative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Quarterly 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6.2  Compliance Incident Classification</w:t>
      </w:r>
    </w:p>
    <w:p>
      <w:pPr>
        <w:spacing w:after="160"/>
      </w:pPr>
      <w:r>
        <w:t xml:space="preserve">Every incident is assessed for compliance implications at the time of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Regulated Data Potentially Exposed?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Obligation Triggered?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Control Bypassed?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</w:tbl>
    <w:p>
      <w:pPr>
        <w:pStyle w:val="Heading2"/>
        <w:spacing w:after="140" w:before="280"/>
      </w:pPr>
      <w:r>
        <w:t xml:space="preserve">6.3  Regulatory Notification Log</w:t>
      </w:r>
    </w:p>
    <w:p>
      <w:pPr>
        <w:spacing w:after="160"/>
      </w:pPr>
      <w:r>
        <w:t xml:space="preserve">A dedicated record of every notification made to regulators or affected data subjects. Required for GDPR, FedRAMP, and SOX.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680"/>
        <w:gridCol w:w="1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Notified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Regulator / Data Subjects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6.4  Control Effectiveness Scoring</w:t>
      </w:r>
    </w:p>
    <w:p>
      <w:pPr>
        <w:spacing w:after="160"/>
      </w:pPr>
      <w:r>
        <w:t xml:space="preserve">Alongside the standard supportability score, each incident is scored on whether the compliance controls performed as designed (1 = poor, 5 = excellent). Low scores feed directly into the C-SRD for the next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 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 Effectiveness Score (1-5)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Finding /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6.5  Quarterly Compliance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Attendees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Open Compliance Findings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Control Gaps Identified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Regulatory Notifications Made This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Framework Changes This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6.6  Sign-Off</w:t>
      </w:r>
    </w:p>
    <w:p>
      <w:pPr>
        <w:spacing w:after="200"/>
      </w:pPr>
      <w:r>
        <w:rPr>
          <w:i/>
          <w:iCs/>
          <w:color w:val="555555"/>
        </w:rPr>
        <w:t xml:space="preserve">Sign-off confirms the quarterly compliance review occurred, findings were documented, and backlog items were created for all High priority compliance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Officer / DPO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Name:
Signature:
Version:
Date: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360"/>
      </w:pPr>
      <w:r>
        <w:t xml:space="preserve">Using This Pack</w:t>
      </w:r>
    </w:p>
    <w:p>
      <w:pPr>
        <w:spacing w:after="160"/>
      </w:pPr>
      <w:r>
        <w:t xml:space="preserve">These six templates are extensions, not replacements. Each one attaches to the base SE deliverable at the same phase — the C-SRD sits alongside the SRD, the C-SAR alongside the SAR, and so on through C-SFL and the SFL. A feature that doesn't trigger any regulated framework uses the base templates only.</w:t>
      </w:r>
    </w:p>
    <w:p>
      <w:pPr>
        <w:spacing w:after="160"/>
      </w:pPr>
      <w:r>
        <w:t xml:space="preserve">Activation is determined at the C-SRD stage (Section 1.2 of Template 1). Once the applicable frameworks are identified, the scope profile in Vol. 5 Section 5 determines which of the remaining five extensions are required. Not every feature needs the full stack — a feature involving only personal data needs C-SRD, C-SIC, and C-SRR; a feature in a FedRAMP authorization boundary needs all six.</w:t>
      </w:r>
    </w:p>
    <w:p>
      <w:pPr>
        <w:spacing w:after="160"/>
      </w:pPr>
      <w:r>
        <w:t xml:space="preserve">Naming convention for completed deliverables, consistent with Vol. 5's audit evidence storage standard: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[FeatureName]-[Deliverable]-v[Version]-[YYYY-MM-DD]</w:t>
      </w:r>
    </w:p>
    <w:p>
      <w:pPr>
        <w:spacing w:after="300"/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Example: PaymentProcessor-C-SRD-v2-2026-03-15</w:t>
      </w:r>
    </w:p>
    <w:p>
      <w:pPr>
        <w:spacing w:after="400"/>
      </w:pPr>
    </w:p>
    <w:p>
      <w:pPr>
        <w:jc w:val="center"/>
      </w:pPr>
      <w:r>
        <w:rPr>
          <w:sz w:val="20"/>
          <w:szCs w:val="20"/>
        </w:rPr>
        <w:t xml:space="preserve">John A. Bowman  |  Supportability Engineering  |  dooohhead@gmail.com  |  902-489-2429</w:t>
      </w:r>
    </w:p>
    <w:p>
      <w:pPr>
        <w:jc w:val="center"/>
      </w:pPr>
      <w:r>
        <w:rPr>
          <w:i/>
          <w:iCs/>
          <w:sz w:val="18"/>
          <w:szCs w:val="18"/>
        </w:rPr>
        <w:t xml:space="preserve">Confidential — Consulting IP  |  All rights reserved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John A. Bowman  |  Supportability Engineering  |  Confidential   </w:t>
    </w: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Supportability Engineering  |  C-Prefix Compliance Extension Templates  |  Companion to Vol.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F23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2026-06-28T21:07:47.989Z</dcterms:created>
  <dcterms:modified xsi:type="dcterms:W3CDTF">2026-06-28T21:07:47.990Z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