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60" w:before="0"/>
      </w:pPr>
      <w:r>
        <w:rPr>
          <w:rFonts w:ascii="Arial" w:cs="Arial" w:eastAsia="Arial" w:hAnsi="Arial"/>
          <w:b/>
          <w:bCs/>
          <w:color w:val="0d7377"/>
          <w:spacing w:val="200"/>
          <w:sz w:val="20"/>
          <w:szCs w:val="20"/>
        </w:rPr>
        <w:t xml:space="preserve">BASELINE SUPPORTABILITY STANDARD  ·  DOCUMENT 4 OF 4</w:t>
      </w:r>
    </w:p>
    <w:p>
      <w:pPr>
        <w:spacing w:after="40" w:before="0"/>
      </w:pPr>
      <w:r>
        <w:rPr>
          <w:rFonts w:ascii="Arial" w:cs="Arial" w:eastAsia="Arial" w:hAnsi="Arial"/>
          <w:b/>
          <w:bCs/>
          <w:color w:val="0f2340"/>
          <w:sz w:val="64"/>
          <w:szCs w:val="64"/>
        </w:rPr>
        <w:t xml:space="preserve">Feature</w:t>
      </w:r>
    </w:p>
    <w:p>
      <w:pPr>
        <w:spacing w:after="40" w:before="0"/>
      </w:pPr>
      <w:r>
        <w:rPr>
          <w:rFonts w:ascii="Arial" w:cs="Arial" w:eastAsia="Arial" w:hAnsi="Arial"/>
          <w:b/>
          <w:bCs/>
          <w:color w:val="0d7377"/>
          <w:sz w:val="64"/>
          <w:szCs w:val="64"/>
        </w:rPr>
        <w:t xml:space="preserve">Specification</w:t>
      </w:r>
    </w:p>
    <w:p>
      <w:pPr>
        <w:spacing w:after="320" w:before="0"/>
      </w:pPr>
      <w:r>
        <w:rPr>
          <w:rFonts w:ascii="Arial" w:cs="Arial" w:eastAsia="Arial" w:hAnsi="Arial"/>
          <w:color w:val="1b3a5c"/>
          <w:sz w:val="32"/>
          <w:szCs w:val="32"/>
        </w:rPr>
        <w:t xml:space="preserve">Per-feature delta  —  What the Context Document can’t know</w:t>
      </w:r>
    </w:p>
    <w:p>
      <w:pPr>
        <w:pBdr>
          <w:bottom w:val="single" w:color="0d7377" w:sz="16" w:space="1"/>
        </w:pBdr>
        <w:spacing w:after="240" w:before="0"/>
      </w:pPr>
    </w:p>
    <w:p>
      <w:pPr>
        <w:spacing w:after="100" w:before="40"/>
      </w:pPr>
      <w:r>
        <w:rPr>
          <w:rFonts w:ascii="Arial" w:cs="Arial" w:eastAsia="Arial" w:hAnsi="Arial"/>
          <w:color w:val="2d3748"/>
          <w:sz w:val="20"/>
          <w:szCs w:val="20"/>
        </w:rPr>
        <w:t xml:space="preserve">The Supportability Context Document (Document 1) covers everything that is the same for every feature. This document covers everything that is unique to one specific feature: its failure modes, the dependencies it introduces, how it affects specific customer segments, its escalation path, and the context block addition that gets appended to the baseline injection for agent sessions working on this feature.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64e3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064e3b"/>
                <w:sz w:val="19"/>
                <w:szCs w:val="19"/>
              </w:rPr>
              <w:t xml:space="preserve">ONE PAGE PER FEATURE: This specification is intentionally short. If it takes more than an hour to complete, you are capturing too much. The baseline Context Document handles the standards. This document handles only what is different for this specific feature.</w:t>
            </w:r>
          </w:p>
        </w:tc>
      </w:tr>
    </w:tbl>
    <w:p>
      <w:pPr>
        <w:spacing w:after="0" w:before="160"/>
      </w:pPr>
    </w:p>
    <w:p>
      <w:pPr>
        <w:spacing w:after="0" w:before="0"/>
      </w:pPr>
      <w:r>
        <w:rPr>
          <w:rFonts w:ascii="Arial" w:cs="Arial" w:eastAsia="Arial" w:hAnsi="Arial"/>
          <w:color w:val="2d3748"/>
          <w:sz w:val="20"/>
          <w:szCs w:val="20"/>
        </w:rPr>
        <w:t xml:space="preserve">John A. Bowman  |  dooohhead@gmail.com  •  902-489-2429  |  2026</w:t>
      </w:r>
    </w:p>
    <w:p>
      <w:r>
        <w:br w:type="page"/>
      </w:r>
    </w:p>
    <w:p>
      <w:pPr>
        <w:spacing w:after="120" w:before="480"/>
      </w:pPr>
      <w:r>
        <w:rPr>
          <w:rFonts w:ascii="Arial" w:cs="Arial" w:eastAsia="Arial" w:hAnsi="Arial"/>
          <w:b/>
          <w:bCs/>
          <w:color w:val="0f2340"/>
          <w:sz w:val="36"/>
          <w:szCs w:val="36"/>
        </w:rPr>
        <w:t xml:space="preserve">Feature Specification Template</w:t>
      </w:r>
    </w:p>
    <w:p>
      <w:pPr>
        <w:pBdr>
          <w:bottom w:val="single" w:color="0d7377" w:sz="10"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7f7" w:val="clear"/>
            <w:tcMar>
              <w:top w:type="dxa" w:w="120"/>
              <w:left w:type="dxa" w:w="160"/>
              <w:bottom w:type="dxa" w:w="120"/>
              <w:right w:type="dxa" w:w="160"/>
            </w:tcMar>
          </w:tcPr>
          <w:p>
            <w:r>
              <w:rPr>
                <w:rFonts w:ascii="Arial" w:cs="Arial" w:eastAsia="Arial" w:hAnsi="Arial"/>
                <w:i/>
                <w:iCs/>
                <w:color w:val="1b3a5c"/>
                <w:sz w:val="19"/>
                <w:szCs w:val="19"/>
              </w:rPr>
              <w:t xml:space="preserve">Complete one of these per feature. File it alongside the feature ticket. Attach it to the agent session context alongside the baseline injection block. Update it when operational experience reveals gaps.</w:t>
            </w:r>
          </w:p>
        </w:tc>
      </w:tr>
    </w:tbl>
    <w:p>
      <w:pPr>
        <w:spacing w:after="120" w:before="80"/>
      </w:pPr>
    </w:p>
    <w:p>
      <w:pPr>
        <w:spacing w:after="100" w:before="320"/>
      </w:pPr>
      <w:r>
        <w:rPr>
          <w:rFonts w:ascii="Arial" w:cs="Arial" w:eastAsia="Arial" w:hAnsi="Arial"/>
          <w:b/>
          <w:bCs/>
          <w:color w:val="0d7377"/>
          <w:sz w:val="26"/>
          <w:szCs w:val="26"/>
        </w:rPr>
        <w:t xml:space="preserve">F1 — Feature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Feature Name</w:t>
            </w:r>
          </w:p>
        </w:tc>
        <w:tc>
          <w:tcPr>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9"/>
                <w:szCs w:val="19"/>
              </w:rPr>
              <w:t xml:space="preserve"> </w:t>
            </w:r>
          </w:p>
        </w:tc>
      </w:tr>
      <w:tr>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Feature Ticket / Reference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 </w:t>
            </w:r>
          </w:p>
        </w:tc>
      </w:tr>
      <w:tr>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Engineering Owner</w:t>
            </w:r>
          </w:p>
        </w:tc>
        <w:tc>
          <w:tcPr>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9"/>
                <w:szCs w:val="19"/>
              </w:rPr>
              <w:t xml:space="preserve"> </w:t>
            </w:r>
          </w:p>
        </w:tc>
      </w:tr>
      <w:tr>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Support Owner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 </w:t>
            </w:r>
          </w:p>
        </w:tc>
      </w:tr>
      <w:tr>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Target Release</w:t>
            </w:r>
          </w:p>
        </w:tc>
        <w:tc>
          <w:tcPr>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9"/>
                <w:szCs w:val="19"/>
              </w:rPr>
              <w:t xml:space="preserve"> </w:t>
            </w:r>
          </w:p>
        </w:tc>
      </w:tr>
      <w:tr>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Context Document Version (from Doc 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 </w:t>
            </w:r>
          </w:p>
        </w:tc>
      </w:tr>
    </w:tbl>
    <w:p>
      <w:pPr>
        <w:spacing w:after="120" w:before="120"/>
      </w:pPr>
    </w:p>
    <w:p>
      <w:pPr>
        <w:spacing w:after="100" w:before="320"/>
      </w:pPr>
      <w:r>
        <w:rPr>
          <w:rFonts w:ascii="Arial" w:cs="Arial" w:eastAsia="Arial" w:hAnsi="Arial"/>
          <w:b/>
          <w:bCs/>
          <w:color w:val="0d7377"/>
          <w:sz w:val="26"/>
          <w:szCs w:val="26"/>
        </w:rPr>
        <w:t xml:space="preserve">F2 — Feature-Specific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7f7" w:val="clear"/>
            <w:tcMar>
              <w:top w:type="dxa" w:w="120"/>
              <w:left w:type="dxa" w:w="160"/>
              <w:bottom w:type="dxa" w:w="120"/>
              <w:right w:type="dxa" w:w="160"/>
            </w:tcMar>
          </w:tcPr>
          <w:p>
            <w:r>
              <w:rPr>
                <w:rFonts w:ascii="Arial" w:cs="Arial" w:eastAsia="Arial" w:hAnsi="Arial"/>
                <w:i/>
                <w:iCs/>
                <w:color w:val="1b3a5c"/>
                <w:sz w:val="19"/>
                <w:szCs w:val="19"/>
              </w:rPr>
              <w:t xml:space="preserve">List only the failure modes unique to this feature. Universal failure modes (timeouts, unavailability, invalid input) are already handled by the baseline Context Document. Only list what is different or additional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2000"/>
        <w:gridCol w:w="1760"/>
      </w:tblGrid>
      <w:tr>
        <w:tc>
          <w:tcPr>
            <w:tcW w:type="dxa" w:w="240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Failure Mode</w:t>
            </w:r>
          </w:p>
        </w:tc>
        <w:tc>
          <w:tcPr>
            <w:tcW w:type="dxa" w:w="120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Customer Experience</w:t>
            </w:r>
          </w:p>
        </w:tc>
        <w:tc>
          <w:tcPr>
            <w:tcW w:type="dxa" w:w="200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Expected Error Code</w:t>
            </w:r>
          </w:p>
        </w:tc>
        <w:tc>
          <w:tcPr>
            <w:tcW w:type="dxa" w:w="176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Retryable?</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176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176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176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r>
    </w:tbl>
    <w:p>
      <w:pPr>
        <w:spacing w:after="120" w:before="120"/>
      </w:pPr>
    </w:p>
    <w:p>
      <w:pPr>
        <w:spacing w:after="100" w:before="320"/>
      </w:pPr>
      <w:r>
        <w:rPr>
          <w:rFonts w:ascii="Arial" w:cs="Arial" w:eastAsia="Arial" w:hAnsi="Arial"/>
          <w:b/>
          <w:bCs/>
          <w:color w:val="0d7377"/>
          <w:sz w:val="26"/>
          <w:szCs w:val="26"/>
        </w:rPr>
        <w:t xml:space="preserve">F3 — Feature-Specific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7f7" w:val="clear"/>
            <w:tcMar>
              <w:top w:type="dxa" w:w="120"/>
              <w:left w:type="dxa" w:w="160"/>
              <w:bottom w:type="dxa" w:w="120"/>
              <w:right w:type="dxa" w:w="160"/>
            </w:tcMar>
          </w:tcPr>
          <w:p>
            <w:r>
              <w:rPr>
                <w:rFonts w:ascii="Arial" w:cs="Arial" w:eastAsia="Arial" w:hAnsi="Arial"/>
                <w:i/>
                <w:iCs/>
                <w:color w:val="1b3a5c"/>
                <w:sz w:val="19"/>
                <w:szCs w:val="19"/>
              </w:rPr>
              <w:t xml:space="preserve">List only dependencies this feature introduces that are not already in the Context Document Section 7.2 registry. Add these to the registry AND list them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1560"/>
        <w:gridCol w:w="18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Dependency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Timeout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Fallback Behavior</w:t>
            </w:r>
          </w:p>
        </w:tc>
        <w:tc>
          <w:tcPr>
            <w:tcW w:type="dxa" w:w="15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Circuit Breaker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28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156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r>
      <w:tr>
        <w:tc>
          <w:tcPr>
            <w:tcW w:type="dxa" w:w="20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28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156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r>
    </w:tbl>
    <w:p>
      <w:pPr>
        <w:spacing w:after="120" w:before="120"/>
      </w:pPr>
    </w:p>
    <w:p>
      <w:pPr>
        <w:spacing w:after="100" w:before="320"/>
      </w:pPr>
      <w:r>
        <w:rPr>
          <w:rFonts w:ascii="Arial" w:cs="Arial" w:eastAsia="Arial" w:hAnsi="Arial"/>
          <w:b/>
          <w:bCs/>
          <w:color w:val="0d7377"/>
          <w:sz w:val="26"/>
          <w:szCs w:val="26"/>
        </w:rPr>
        <w:t xml:space="preserve">F4 — Customer Impact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7f7" w:val="clear"/>
            <w:tcMar>
              <w:top w:type="dxa" w:w="120"/>
              <w:left w:type="dxa" w:w="160"/>
              <w:bottom w:type="dxa" w:w="120"/>
              <w:right w:type="dxa" w:w="160"/>
            </w:tcMar>
          </w:tcPr>
          <w:p>
            <w:r>
              <w:rPr>
                <w:rFonts w:ascii="Arial" w:cs="Arial" w:eastAsia="Arial" w:hAnsi="Arial"/>
                <w:i/>
                <w:iCs/>
                <w:color w:val="1b3a5c"/>
                <w:sz w:val="19"/>
                <w:szCs w:val="19"/>
              </w:rPr>
              <w:t xml:space="preserve">Define which customer segments use this feature and what the business impact is at each failure severity. This is loaded into your incident management system so triage is automatic.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760"/>
        <w:gridCol w:w="2000"/>
      </w:tblGrid>
      <w:tr>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Customer Segment</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 Customers Affected</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Contract Tier</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Revenue at Risk ($)</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Escalation Level</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bCs/>
                <w:color w:val="1b3a5c"/>
                <w:sz w:val="18"/>
                <w:szCs w:val="18"/>
              </w:rPr>
              <w:t xml:space="preserve">Enterprise</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5c"/>
                <w:sz w:val="18"/>
                <w:szCs w:val="18"/>
              </w:rPr>
              <w:t xml:space="preserve">Mid-Market</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bCs/>
                <w:color w:val="1b3a5c"/>
                <w:sz w:val="18"/>
                <w:szCs w:val="18"/>
              </w:rPr>
              <w:t xml:space="preserve">SMB</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5c"/>
                <w:sz w:val="18"/>
                <w:szCs w:val="18"/>
              </w:rPr>
              <w:t xml:space="preserve">Free / Trial</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r>
    </w:tbl>
    <w:p>
      <w:pPr>
        <w:spacing w:after="120" w:before="120"/>
      </w:pPr>
    </w:p>
    <w:p>
      <w:pPr>
        <w:spacing w:after="100" w:before="320"/>
      </w:pPr>
      <w:r>
        <w:rPr>
          <w:rFonts w:ascii="Arial" w:cs="Arial" w:eastAsia="Arial" w:hAnsi="Arial"/>
          <w:b/>
          <w:bCs/>
          <w:color w:val="0d7377"/>
          <w:sz w:val="26"/>
          <w:szCs w:val="26"/>
        </w:rPr>
        <w:t xml:space="preserve">F5 — Escalation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Primary support owner for this feature</w:t>
            </w:r>
          </w:p>
        </w:tc>
        <w:tc>
          <w:tcPr>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9"/>
                <w:szCs w:val="19"/>
              </w:rPr>
              <w:t xml:space="preserve"> </w:t>
            </w:r>
          </w:p>
        </w:tc>
      </w:tr>
      <w:tr>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Engineering escalation contact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 </w:t>
            </w:r>
          </w:p>
        </w:tc>
      </w:tr>
      <w:tr>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On-call coverage required? (Yes / No)</w:t>
            </w:r>
          </w:p>
        </w:tc>
        <w:tc>
          <w:tcPr>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9"/>
                <w:szCs w:val="19"/>
              </w:rPr>
              <w:t xml:space="preserve"> </w:t>
            </w:r>
          </w:p>
        </w:tc>
      </w:tr>
      <w:tr>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Escalation triggers engineering at severity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 </w:t>
            </w:r>
          </w:p>
        </w:tc>
      </w:tr>
      <w:tr>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Customer communication triggers at severity</w:t>
            </w:r>
          </w:p>
        </w:tc>
        <w:tc>
          <w:tcPr>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19"/>
                <w:szCs w:val="19"/>
              </w:rPr>
              <w:t xml:space="preserve"> </w:t>
            </w:r>
          </w:p>
        </w:tc>
      </w:tr>
    </w:tbl>
    <w:p>
      <w:pPr>
        <w:spacing w:after="120" w:before="120"/>
      </w:pPr>
    </w:p>
    <w:p>
      <w:pPr>
        <w:spacing w:after="100" w:before="320"/>
      </w:pPr>
      <w:r>
        <w:rPr>
          <w:rFonts w:ascii="Arial" w:cs="Arial" w:eastAsia="Arial" w:hAnsi="Arial"/>
          <w:b/>
          <w:bCs/>
          <w:color w:val="0d7377"/>
          <w:sz w:val="26"/>
          <w:szCs w:val="26"/>
        </w:rPr>
        <w:t xml:space="preserve">F6 — Context Block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7f7" w:val="clear"/>
            <w:tcMar>
              <w:top w:type="dxa" w:w="120"/>
              <w:left w:type="dxa" w:w="160"/>
              <w:bottom w:type="dxa" w:w="120"/>
              <w:right w:type="dxa" w:w="160"/>
            </w:tcMar>
          </w:tcPr>
          <w:p>
            <w:r>
              <w:rPr>
                <w:rFonts w:ascii="Arial" w:cs="Arial" w:eastAsia="Arial" w:hAnsi="Arial"/>
                <w:i/>
                <w:iCs/>
                <w:color w:val="1b3a5c"/>
                <w:sz w:val="19"/>
                <w:szCs w:val="19"/>
              </w:rPr>
              <w:t xml:space="preserve">This is the feature-specific addition to the baseline Agent Injection Block. Append this text to the end of the baseline injection block (Document 1, Section 8) for all agent sessions working on this feature. Keep it concise — the baseline covers the standards, this covers only what is unique.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FEATURE-SPECIFIC REQUIREMENTS: [FEATURE NAME]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FEATURE DESCRIPTION:</w:t>
            </w:r>
          </w:p>
          <w:p>
            <w:pPr>
              <w:spacing w:after="0" w:before="0"/>
            </w:pPr>
            <w:r>
              <w:rPr>
                <w:rFonts w:ascii="Courier New" w:cs="Courier New" w:eastAsia="Courier New" w:hAnsi="Courier New"/>
                <w:color w:val="e2e8f0"/>
                <w:sz w:val="18"/>
                <w:szCs w:val="18"/>
              </w:rPr>
              <w:t xml:space="preserve">[One sentence: what this feature does and why it exists]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FAILURE MODES TO HANDLE (in addition to universal modes):</w:t>
            </w:r>
          </w:p>
          <w:p>
            <w:pPr>
              <w:spacing w:after="0" w:before="0"/>
            </w:pPr>
            <w:r>
              <w:rPr>
                <w:rFonts w:ascii="Courier New" w:cs="Courier New" w:eastAsia="Courier New" w:hAnsi="Courier New"/>
                <w:color w:val="e2e8f0"/>
                <w:sz w:val="18"/>
                <w:szCs w:val="18"/>
              </w:rPr>
              <w:t xml:space="preserve">- [Failure mode 1]: Handle as [transient/permanent], error code: [CODE], message: '[message]'</w:t>
            </w:r>
          </w:p>
          <w:p>
            <w:pPr>
              <w:spacing w:after="0" w:before="0"/>
            </w:pPr>
            <w:r>
              <w:rPr>
                <w:rFonts w:ascii="Courier New" w:cs="Courier New" w:eastAsia="Courier New" w:hAnsi="Courier New"/>
                <w:color w:val="e2e8f0"/>
                <w:sz w:val="18"/>
                <w:szCs w:val="18"/>
              </w:rPr>
              <w:t xml:space="preserve">- [Failure mode 2]: Handle as [transient/permanent], error code: [CODE], message: '[message]'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NEW DEPENDENCIES FOR THIS FEATURE:</w:t>
            </w:r>
          </w:p>
          <w:p>
            <w:pPr>
              <w:spacing w:after="0" w:before="0"/>
            </w:pPr>
            <w:r>
              <w:rPr>
                <w:rFonts w:ascii="Courier New" w:cs="Courier New" w:eastAsia="Courier New" w:hAnsi="Courier New"/>
                <w:color w:val="e2e8f0"/>
                <w:sz w:val="18"/>
                <w:szCs w:val="18"/>
              </w:rPr>
              <w:t xml:space="preserve">- [Dependency name]: timeout [Xms], fallback: [description], circuit breaker: required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CUSTOMER IMPACT CONTEXT:</w:t>
            </w:r>
          </w:p>
          <w:p>
            <w:pPr>
              <w:spacing w:after="0" w:before="0"/>
            </w:pPr>
            <w:r>
              <w:rPr>
                <w:rFonts w:ascii="Courier New" w:cs="Courier New" w:eastAsia="Courier New" w:hAnsi="Courier New"/>
                <w:color w:val="e2e8f0"/>
                <w:sz w:val="18"/>
                <w:szCs w:val="18"/>
              </w:rPr>
              <w:t xml:space="preserve">- This feature affects [enterprise / mid-market / SMB] customers</w:t>
            </w:r>
          </w:p>
          <w:p>
            <w:pPr>
              <w:spacing w:after="0" w:before="0"/>
            </w:pPr>
            <w:r>
              <w:rPr>
                <w:rFonts w:ascii="Courier New" w:cs="Courier New" w:eastAsia="Courier New" w:hAnsi="Courier New"/>
                <w:color w:val="e2e8f0"/>
                <w:sz w:val="18"/>
                <w:szCs w:val="18"/>
              </w:rPr>
              <w:t xml:space="preserve">- Failure impacts SLA for [customer tier]</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FEATURE-SPECIFIC SENSITIVE DATA (in addition to baseline list):</w:t>
            </w:r>
          </w:p>
          <w:p>
            <w:pPr>
              <w:spacing w:after="0" w:before="0"/>
            </w:pPr>
            <w:r>
              <w:rPr>
                <w:rFonts w:ascii="Courier New" w:cs="Courier New" w:eastAsia="Courier New" w:hAnsi="Courier New"/>
                <w:color w:val="e2e8f0"/>
                <w:sz w:val="18"/>
                <w:szCs w:val="18"/>
              </w:rPr>
              <w:t xml:space="preserve">- [Any field specific to this feature that must not be logged]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END FEATURE-SPECIFIC REQUIREMENTS ===</w:t>
            </w:r>
          </w:p>
        </w:tc>
      </w:tr>
    </w:tbl>
    <w:p>
      <w:pPr>
        <w:spacing w:after="120" w:before="120"/>
      </w:pPr>
    </w:p>
    <w:p>
      <w:pPr>
        <w:spacing w:after="100" w:before="320"/>
      </w:pPr>
      <w:r>
        <w:rPr>
          <w:rFonts w:ascii="Arial" w:cs="Arial" w:eastAsia="Arial" w:hAnsi="Arial"/>
          <w:b/>
          <w:bCs/>
          <w:color w:val="0d7377"/>
          <w:sz w:val="26"/>
          <w:szCs w:val="26"/>
        </w:rPr>
        <w:t xml:space="preserve">F7 — Quarterly Review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7f7" w:val="clear"/>
            <w:tcMar>
              <w:top w:type="dxa" w:w="120"/>
              <w:left w:type="dxa" w:w="160"/>
              <w:bottom w:type="dxa" w:w="120"/>
              <w:right w:type="dxa" w:w="160"/>
            </w:tcMar>
          </w:tcPr>
          <w:p>
            <w:r>
              <w:rPr>
                <w:rFonts w:ascii="Arial" w:cs="Arial" w:eastAsia="Arial" w:hAnsi="Arial"/>
                <w:i/>
                <w:iCs/>
                <w:color w:val="1b3a5c"/>
                <w:sz w:val="19"/>
                <w:szCs w:val="19"/>
              </w:rPr>
              <w:t xml:space="preserve">Each quarter, review this specification against what actually happened in production. Update any section where the specification did not match reality. Increment the version and note what changed.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400"/>
        <w:gridCol w:w="2000"/>
        <w:gridCol w:w="5000"/>
      </w:tblGrid>
      <w:tr>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Version</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Review Date</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Reviewed By</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What Changed and Why</w:t>
            </w:r>
          </w:p>
        </w:tc>
      </w:tr>
      <w:tr>
        <w:tc>
          <w:tcPr>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b/>
                <w:bCs/>
                <w:color w:val="0d7377"/>
                <w:sz w:val="18"/>
                <w:szCs w:val="18"/>
              </w:rPr>
              <w:t xml:space="preserve">1.0</w:t>
            </w:r>
          </w:p>
        </w:tc>
        <w:tc>
          <w:tcPr>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color w:val="2d3748"/>
                <w:sz w:val="18"/>
                <w:szCs w:val="18"/>
              </w:rPr>
              <w:t xml:space="preserve">Initial specification</w:t>
            </w:r>
          </w:p>
        </w:tc>
      </w:tr>
      <w:tr>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r>
    </w:tbl>
    <w:p>
      <w:pPr>
        <w:spacing w:after="120" w:before="80"/>
      </w:pPr>
    </w:p>
    <w:p>
      <w:pPr>
        <w:spacing w:after="100" w:before="320"/>
      </w:pPr>
      <w:r>
        <w:rPr>
          <w:rFonts w:ascii="Arial" w:cs="Arial" w:eastAsia="Arial" w:hAnsi="Arial"/>
          <w:b/>
          <w:bCs/>
          <w:color w:val="0d7377"/>
          <w:sz w:val="26"/>
          <w:szCs w:val="26"/>
        </w:rPr>
        <w:t xml:space="preserve">F8 —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7f7" w:val="clear"/>
            <w:tcMar>
              <w:top w:type="dxa" w:w="120"/>
              <w:left w:type="dxa" w:w="160"/>
              <w:bottom w:type="dxa" w:w="120"/>
              <w:right w:type="dxa" w:w="160"/>
            </w:tcMar>
          </w:tcPr>
          <w:p>
            <w:r>
              <w:rPr>
                <w:rFonts w:ascii="Arial" w:cs="Arial" w:eastAsia="Arial" w:hAnsi="Arial"/>
                <w:i/>
                <w:iCs/>
                <w:color w:val="1b3a5c"/>
                <w:sz w:val="19"/>
                <w:szCs w:val="19"/>
              </w:rPr>
              <w:t xml:space="preserve">Both engineering and support sign this specification before any agent session begins on this feature. It takes fifteen minutes. It prevents the first incident from also being an orientation.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Engineering Owner</w:t>
            </w:r>
          </w:p>
        </w:tc>
        <w:tc>
          <w:tcPr>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Support Owner</w:t>
            </w:r>
          </w:p>
        </w:tc>
        <w:tc>
          <w:tcPr>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QA / Release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r>
    </w:tbl>
    <w:p>
      <w:r>
        <w:br w:type="page"/>
      </w:r>
    </w:p>
    <w:p>
      <w:pPr>
        <w:spacing w:after="120" w:before="480"/>
      </w:pPr>
      <w:r>
        <w:rPr>
          <w:rFonts w:ascii="Arial" w:cs="Arial" w:eastAsia="Arial" w:hAnsi="Arial"/>
          <w:b/>
          <w:bCs/>
          <w:color w:val="0f2340"/>
          <w:sz w:val="36"/>
          <w:szCs w:val="36"/>
        </w:rPr>
        <w:t xml:space="preserve">Using the Four Documents Together</w:t>
      </w:r>
    </w:p>
    <w:p>
      <w:pPr>
        <w:pBdr>
          <w:bottom w:val="single" w:color="0d7377" w:sz="10" w:space="1"/>
        </w:pBdr>
        <w:spacing w:after="200" w:before="0"/>
      </w:pPr>
    </w:p>
    <w:p>
      <w:pPr>
        <w:spacing w:after="100" w:before="40"/>
      </w:pPr>
      <w:r>
        <w:rPr>
          <w:rFonts w:ascii="Arial" w:cs="Arial" w:eastAsia="Arial" w:hAnsi="Arial"/>
          <w:color w:val="2d3748"/>
          <w:sz w:val="20"/>
          <w:szCs w:val="20"/>
        </w:rPr>
        <w:t xml:space="preserve">The four documents in this kit work as a system. Here is how they connect in practice.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480"/>
        <w:gridCol w:w="3400"/>
      </w:tblGrid>
      <w:tr>
        <w:tc>
          <w:tcPr>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Document</w:t>
            </w:r>
          </w:p>
        </w:tc>
        <w:tc>
          <w:tcPr>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When It’s Used</w:t>
            </w:r>
          </w:p>
        </w:tc>
        <w:tc>
          <w:tcPr>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Who Uses It</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1</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bCs/>
                <w:color w:val="1b3a5c"/>
                <w:sz w:val="18"/>
                <w:szCs w:val="18"/>
              </w:rPr>
              <w:t xml:space="preserve">Supportability Context Document</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Injected into every agent session. Reviewed when operational experience reveals a gap. Updated quarterly.</w:t>
            </w:r>
          </w:p>
        </w:tc>
        <w:tc>
          <w:tcPr>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color w:val="2d3748"/>
                <w:sz w:val="18"/>
                <w:szCs w:val="18"/>
              </w:rPr>
              <w:t xml:space="preserve">Set up once by engineering lead + support lead. Agent consumes it every session.</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5c"/>
                <w:sz w:val="18"/>
                <w:szCs w:val="18"/>
              </w:rPr>
              <w:t xml:space="preserve">Gate Configuration Spec</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Added to the CI/CD pipeline once. Runs automatically on every agent-generated PR thereafter.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Set up once by a DevOps or platform engineer. Runs without human involvement.</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3</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bCs/>
                <w:color w:val="1b3a5c"/>
                <w:sz w:val="18"/>
                <w:szCs w:val="18"/>
              </w:rPr>
              <w:t xml:space="preserve">PR Template Addition</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Appears in every PR. Human reviewer completes the five questions for agent-generated code.</w:t>
            </w:r>
          </w:p>
        </w:tc>
        <w:tc>
          <w:tcPr>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color w:val="2d3748"/>
                <w:sz w:val="18"/>
                <w:szCs w:val="18"/>
              </w:rPr>
              <w:t xml:space="preserve">Human code reviewer. Takes 5–10 minutes per PR after gates have passed.</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5c"/>
                <w:sz w:val="18"/>
                <w:szCs w:val="18"/>
              </w:rPr>
              <w:t xml:space="preserve">Feature Specification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Completed before agent sessions begin for a new feature. Appended to the baseline injection block. Updated quarterly.</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Engineering owner + support owner. Fifteen minutes per feature.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7f7" w:val="clear"/>
            <w:tcMar>
              <w:top w:type="dxa" w:w="120"/>
              <w:left w:type="dxa" w:w="160"/>
              <w:bottom w:type="dxa" w:w="120"/>
              <w:right w:type="dxa" w:w="160"/>
            </w:tcMar>
          </w:tcPr>
          <w:p>
            <w:r>
              <w:rPr>
                <w:rFonts w:ascii="Arial" w:cs="Arial" w:eastAsia="Arial" w:hAnsi="Arial"/>
                <w:i/>
                <w:iCs/>
                <w:color w:val="1b3a5c"/>
                <w:sz w:val="19"/>
                <w:szCs w:val="19"/>
              </w:rPr>
              <w:t xml:space="preserve">Total setup time for all four documents: approximately one working day. Document 1 takes the most time — 2–4 hours to review and complete Section 7. Documents 2, 3, and 4 take 1–2 hours combined. After setup, the ongoing overhead is: 5–10 minutes per PR (Doc 3), 15 minutes per new feature (Doc 4), and a 1-hour quarterly review (update Doc 1 Section 7 and any Feature Specifications where gaps were found).</w:t>
            </w:r>
          </w:p>
        </w:tc>
      </w:tr>
    </w:tbl>
    <w:p>
      <w:pPr>
        <w:spacing w:after="120" w:before="120"/>
      </w:pPr>
    </w:p>
    <w:p>
      <w:pPr>
        <w:spacing w:after="100" w:before="320"/>
      </w:pPr>
      <w:r>
        <w:rPr>
          <w:rFonts w:ascii="Arial" w:cs="Arial" w:eastAsia="Arial" w:hAnsi="Arial"/>
          <w:b/>
          <w:bCs/>
          <w:color w:val="0d7377"/>
          <w:sz w:val="26"/>
          <w:szCs w:val="26"/>
        </w:rPr>
        <w:t xml:space="preserve">What to Do When You Find a Gap</w:t>
      </w:r>
    </w:p>
    <w:p>
      <w:pPr>
        <w:spacing w:after="100" w:before="40"/>
      </w:pPr>
      <w:r>
        <w:rPr>
          <w:rFonts w:ascii="Arial" w:cs="Arial" w:eastAsia="Arial" w:hAnsi="Arial"/>
          <w:color w:val="2d3748"/>
          <w:sz w:val="20"/>
          <w:szCs w:val="20"/>
        </w:rPr>
        <w:t xml:space="preserve">When a production incident reveals that the agent produced code that did not meet the supportability standard, the update process is straightforward:</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Details</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1</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bCs/>
                <w:color w:val="1b3a5c"/>
                <w:sz w:val="18"/>
                <w:szCs w:val="18"/>
              </w:rPr>
              <w:t xml:space="preserve">Identify the gap type</w:t>
            </w:r>
          </w:p>
        </w:tc>
        <w:tc>
          <w:tcPr>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color w:val="2d3748"/>
                <w:sz w:val="18"/>
                <w:szCs w:val="18"/>
              </w:rPr>
              <w:t xml:space="preserve">Was it a logging gap, a missing error code, an unregistered dependency, a sensitive data exposure, or a failure mode not handled?</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5c"/>
                <w:sz w:val="18"/>
                <w:szCs w:val="18"/>
              </w:rPr>
              <w:t xml:space="preserve">Update the right document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Logging/error/dependency gap → Update Doc 1 Section 1–4. Feature-specific gap → Update Doc 4. Gate missed it → Update Doc 2 pattern list or registry.</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3</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bCs/>
                <w:color w:val="1b3a5c"/>
                <w:sz w:val="18"/>
                <w:szCs w:val="18"/>
              </w:rPr>
              <w:t xml:space="preserve">Increment the version</w:t>
            </w:r>
          </w:p>
        </w:tc>
        <w:tc>
          <w:tcPr>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color w:val="2d3748"/>
                <w:sz w:val="18"/>
                <w:szCs w:val="18"/>
              </w:rPr>
              <w:t xml:space="preserve">Update the version number in the document and the header. Note what changed and why in the version history table.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5c"/>
                <w:sz w:val="18"/>
                <w:szCs w:val="18"/>
              </w:rPr>
              <w:t xml:space="preserve">Update the injection block</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If Doc 1 was updated, update the Agent Injection Block in Section 8 to reflect the change. This is what the agent will use in future sessions.</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pPr>
              <w:jc w:val="center"/>
            </w:pPr>
            <w:r>
              <w:rPr>
                <w:rFonts w:ascii="Arial" w:cs="Arial" w:eastAsia="Arial" w:hAnsi="Arial"/>
                <w:b/>
                <w:bCs/>
                <w:color w:val="0d7377"/>
                <w:sz w:val="18"/>
                <w:szCs w:val="18"/>
              </w:rPr>
              <w:t xml:space="preserve">5</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bCs/>
                <w:color w:val="1b3a5c"/>
                <w:sz w:val="18"/>
                <w:szCs w:val="18"/>
              </w:rPr>
              <w:t xml:space="preserve">Notify the team</w:t>
            </w:r>
          </w:p>
        </w:tc>
        <w:tc>
          <w:tcPr>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color w:val="2d3748"/>
                <w:sz w:val="18"/>
                <w:szCs w:val="18"/>
              </w:rPr>
              <w:t xml:space="preserve">Let engineers know the standard has been updated. New sessions will automatically use the updated context. Existing code may need a follow-up PR.</w:t>
            </w:r>
          </w:p>
        </w:tc>
      </w:tr>
    </w:tbl>
    <w:p>
      <w:pPr>
        <w:spacing w:after="120" w:before="480"/>
      </w:pPr>
    </w:p>
    <w:p>
      <w:pPr>
        <w:pBdr>
          <w:bottom w:val="single" w:color="0d7377" w:sz="6" w:space="1"/>
        </w:pBdr>
        <w:spacing w:after="120" w:before="0"/>
      </w:pPr>
    </w:p>
    <w:p>
      <w:pPr>
        <w:spacing w:after="0" w:before="120"/>
        <w:jc w:val="center"/>
      </w:pPr>
      <w:r>
        <w:rPr>
          <w:rFonts w:ascii="Arial" w:cs="Arial" w:eastAsia="Arial" w:hAnsi="Arial"/>
          <w:i/>
          <w:iCs/>
          <w:color w:val="888888"/>
          <w:sz w:val="17"/>
          <w:szCs w:val="17"/>
        </w:rPr>
        <w:t xml:space="preserve">Baseline Supportability Standard  —  Document 4 of 4  —  Free to use and adapt  —  John A. Bowman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tabs>
        <w:tab w:val="right" w:pos="9360"/>
      </w:tabs>
      <w:spacing w:after="0" w:before="160"/>
    </w:pPr>
    <w:r>
      <w:rPr>
        <w:rFonts w:ascii="Arial" w:cs="Arial" w:eastAsia="Arial" w:hAnsi="Arial"/>
        <w:color w:val="888888"/>
        <w:sz w:val="16"/>
        <w:szCs w:val="16"/>
      </w:rPr>
      <w:t xml:space="preserve">Baseline Supportability Standard  |  Free to use and adapt  |  Supportability Engineering</w:t>
    </w:r>
    <w:r>
      <w:rPr>
        <w:rFonts w:ascii="Arial" w:cs="Arial" w:eastAsia="Arial" w:hAnsi="Arial"/>
        <w:color w:val="888888"/>
        <w:sz w:val="16"/>
        <w:szCs w:val="16"/>
      </w:rPr>
      <w:t xml:space="preserve">	dooohhead@gmail.com  |  902-489-2429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tabs>
        <w:tab w:val="right" w:pos="9360"/>
      </w:tabs>
      <w:spacing w:after="160" w:before="0"/>
    </w:pPr>
    <w:r>
      <w:rPr>
        <w:rFonts w:ascii="Arial" w:cs="Arial" w:eastAsia="Arial" w:hAnsi="Arial"/>
        <w:b/>
        <w:bCs/>
        <w:color w:val="0f2340"/>
        <w:sz w:val="17"/>
        <w:szCs w:val="17"/>
      </w:rPr>
      <w:t xml:space="preserve">BASELINE SUPPORTABILITY STANDARD  —  FEATURE SPECIFICATION</w:t>
    </w:r>
    <w:r>
      <w:rPr>
        <w:rFonts w:ascii="Arial" w:cs="Arial" w:eastAsia="Arial" w:hAnsi="Arial"/>
        <w:color w:val="888888"/>
        <w:sz w:val="17"/>
        <w:szCs w:val="17"/>
      </w:rPr>
      <w:t xml:space="preserve">	Document 4 of 4  |  John A. Bowman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2026-04-25T17:13:24.646Z</dcterms:created>
  <dcterms:modified xsi:type="dcterms:W3CDTF">2026-04-25T17:13:24.646Z</dcterms:modified>
</cp:coreProperties>
</file>

<file path=docProps/custom.xml><?xml version="1.0" encoding="utf-8"?>
<Properties xmlns="http://schemas.openxmlformats.org/officeDocument/2006/custom-properties" xmlns:vt="http://schemas.openxmlformats.org/officeDocument/2006/docPropsVTypes"/>
</file>