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A3E5C"/>
          <w:sz w:val="52"/>
          <w:szCs w:val="52"/>
        </w:rPr>
        <w:t xml:space="preserve">SUPPORTABILITY ENGINEERING</w:t>
      </w:r>
    </w:p>
    <w:p>
      <w:pPr>
        <w:spacing w:after="80" w:before="0"/>
        <w:jc w:val="center"/>
      </w:pPr>
      <w:r>
        <w:rPr>
          <w:rFonts w:ascii="Arial" w:cs="Arial" w:eastAsia="Arial" w:hAnsi="Arial"/>
          <w:color w:val="2E86C1"/>
          <w:sz w:val="30"/>
          <w:szCs w:val="30"/>
        </w:rPr>
        <w:t xml:space="preserve">Shift Left Deliverable Template Package</w:t>
      </w:r>
    </w:p>
    <w:p>
      <w:pPr>
        <w:spacing w:after="480" w:before="0"/>
        <w:jc w:val="center"/>
      </w:pPr>
      <w:r>
        <w:rPr>
          <w:rFonts w:ascii="Arial" w:cs="Arial" w:eastAsia="Arial" w:hAnsi="Arial"/>
          <w:i/>
          <w:iCs/>
          <w:color w:val="555555"/>
          <w:sz w:val="22"/>
          <w:szCs w:val="22"/>
        </w:rPr>
        <w:t xml:space="preserve">Six Phase Templates for Proactive Supportability</w:t>
      </w:r>
    </w:p>
    <w:p>
      <w:pPr>
        <w:pBdr>
          <w:bottom w:val="single" w:color="2E86C1" w:sz="6" w:space="2"/>
        </w:pBdr>
        <w:spacing w:after="0" w:before="0"/>
        <w:jc w:val="center"/>
      </w:pPr>
      <w:r>
        <w:rPr>
          <w:rFonts w:ascii="Arial" w:cs="Arial" w:eastAsia="Arial" w:hAnsi="Arial"/>
          <w:color w:val="1A1A1A"/>
          <w:sz w:val="20"/>
          <w:szCs w:val="20"/>
        </w:rPr>
        <w:t xml:space="preserve"/>
      </w:r>
    </w:p>
    <w:p>
      <w:pPr>
        <w:spacing w:after="24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Framework Author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John A. Bowman</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Version</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1.0</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Date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April 2026</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Classification</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Confidential — Consulting IP</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Contact</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dooohhead@gmail.com  |  902-489-2429</w:t>
            </w:r>
          </w:p>
        </w:tc>
      </w:tr>
    </w:tbl>
    <w:p>
      <w:pPr>
        <w:spacing w:after="360" w:before="0"/>
      </w:pPr>
      <w:r>
        <w:rPr>
          <w:rFonts w:ascii="Arial" w:cs="Arial" w:eastAsia="Arial" w:hAnsi="Arial"/>
          <w:color w:val="1A1A1A"/>
          <w:sz w:val="20"/>
          <w:szCs w:val="20"/>
        </w:rPr>
        <w:t xml:space="preserve"/>
      </w:r>
    </w:p>
    <w:p>
      <w:pPr>
        <w:spacing w:after="120" w:before="0"/>
        <w:jc w:val="center"/>
      </w:pPr>
      <w:r>
        <w:rPr>
          <w:rFonts w:ascii="Arial" w:cs="Arial" w:eastAsia="Arial" w:hAnsi="Arial"/>
          <w:b/>
          <w:bCs/>
          <w:color w:val="1A3E5C"/>
          <w:sz w:val="22"/>
          <w:szCs w:val="22"/>
        </w:rPr>
        <w:t xml:space="preserve">Template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840"/>
        <w:gridCol w:w="4800"/>
      </w:tblGrid>
      <w:tr>
        <w:trPr>
          <w:tblHeader/>
        </w:trPr>
        <w:tc>
          <w:tcPr>
            <w:tcW w:type="dxa" w:w="7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38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Template</w:t>
            </w:r>
          </w:p>
        </w:tc>
        <w:tc>
          <w:tcPr>
            <w:tcW w:type="dxa" w:w="4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Phase</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1</w:t>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Supportability Requirements Document (SRD)</w:t>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Phase 1 — Requirements</w:t>
            </w:r>
          </w:p>
        </w:tc>
      </w:tr>
      <w:tr>
        <w:tc>
          <w:tcPr>
            <w:tcW w:type="dxa" w:w="7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2</w:t>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Supportability Architecture Review (SAR)</w:t>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Phase 2 — Design</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3</w:t>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Supportability Implementation Checklist (SIC)</w:t>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Phase 3 — Build</w:t>
            </w:r>
          </w:p>
        </w:tc>
      </w:tr>
      <w:tr>
        <w:tc>
          <w:tcPr>
            <w:tcW w:type="dxa" w:w="7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4</w:t>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Supportability Test Plan (STP)</w:t>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Phase 4 — Test</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5</w:t>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 Readiness Review (SRR)</w:t>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Phase 5 — Release</w:t>
            </w:r>
          </w:p>
        </w:tc>
      </w:tr>
      <w:tr>
        <w:tc>
          <w:tcPr>
            <w:tcW w:type="dxa" w:w="7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6</w:t>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Supportability Feedback Loop (SFL)</w:t>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Phase 6 — Operate</w:t>
            </w:r>
          </w:p>
        </w:tc>
      </w:tr>
    </w:tbl>
    <w:p>
      <w:pPr>
        <w:spacing w:after="360" w:before="0"/>
      </w:pPr>
      <w:r>
        <w:rPr>
          <w:rFonts w:ascii="Arial" w:cs="Arial" w:eastAsia="Arial" w:hAnsi="Arial"/>
          <w:color w:val="1A1A1A"/>
          <w:sz w:val="20"/>
          <w:szCs w:val="20"/>
        </w:rPr>
        <w:t xml:space="preserve"/>
      </w:r>
    </w:p>
    <w:p>
      <w:pPr>
        <w:pBdr>
          <w:left w:val="single" w:color="2E86C1" w:sz="16" w:space="8"/>
        </w:pBdr>
        <w:spacing w:after="140" w:before="100"/>
        <w:ind w:left="360"/>
      </w:pPr>
      <w:r>
        <w:rPr>
          <w:rFonts w:ascii="Arial" w:cs="Arial" w:eastAsia="Arial" w:hAnsi="Arial"/>
          <w:i/>
          <w:iCs/>
          <w:color w:val="555555"/>
          <w:sz w:val="20"/>
          <w:szCs w:val="20"/>
        </w:rPr>
        <w:t xml:space="preserve">These six templates form a complete, connected framework. Every gap caught at requirements costs minutes to fix. The same gap caught in production costs months. The goal of this framework is that by the time any feature reaches production, support can operate it independently at 2am without waking up the engineer who built it.</w:t>
      </w:r>
    </w:p>
    <w:p>
      <w:pPr>
        <w:sectPr>
          <w:pgSz w:w="12240" w:h="15840" w:orient="portrait"/>
          <w:pgMar w:top="2160" w:right="1440" w:bottom="1440" w:left="144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1: SUPPORTABILITY REQUIREMENTS DOCUMENT (SRD)</w:t>
      </w:r>
    </w:p>
    <w:p>
      <w:pPr>
        <w:spacing w:after="140" w:before="0"/>
      </w:pPr>
      <w:r>
        <w:rPr>
          <w:rFonts w:ascii="Arial" w:cs="Arial" w:eastAsia="Arial" w:hAnsi="Arial"/>
          <w:i/>
          <w:iCs/>
          <w:color w:val="555555"/>
          <w:sz w:val="20"/>
          <w:szCs w:val="20"/>
        </w:rPr>
        <w:t xml:space="preserve">Purpose: Captures supportability requirements for every feature or service during the requirements phase, before design begins. Support signs off before requirements are finalized. No SRD sign-off — no design phase.</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Product / System</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Version / Release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SRD Author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Support Representative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Date Created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Last Updated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1.2  Feature Description</w:t>
      </w:r>
    </w:p>
    <w:p>
      <w:pPr>
        <w:spacing w:after="140" w:before="0"/>
      </w:pPr>
      <w:r>
        <w:rPr>
          <w:rFonts w:ascii="Arial" w:cs="Arial" w:eastAsia="Arial" w:hAnsi="Arial"/>
          <w:color w:val="1A1A1A"/>
          <w:sz w:val="20"/>
          <w:szCs w:val="20"/>
        </w:rPr>
        <w:t xml:space="preserve">Plain-language description of the feature. A support engineer with no prior context should understand what this does and why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Feature Description</w:t>
            </w:r>
          </w:p>
        </w:tc>
      </w:tr>
      <w:tr>
        <w:tc>
          <w:tcPr>
            <w:tcW w:type="dxa" w:w="93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80" w:before="0"/>
            </w:pPr>
            <w:r>
              <w:rPr>
                <w:rFonts w:ascii="Arial" w:cs="Arial" w:eastAsia="Arial" w:hAnsi="Arial"/>
                <w:color w:val="1A1A1A"/>
                <w:sz w:val="20"/>
                <w:szCs w:val="20"/>
              </w:rPr>
              <w:t xml:space="preserve"/>
            </w:r>
          </w:p>
          <w:p>
            <w:pPr>
              <w:spacing w:after="80" w:before="0"/>
            </w:pPr>
            <w:r>
              <w:rPr>
                <w:rFonts w:ascii="Arial" w:cs="Arial" w:eastAsia="Arial" w:hAnsi="Arial"/>
                <w:color w:val="1A1A1A"/>
                <w:sz w:val="20"/>
                <w:szCs w:val="20"/>
              </w:rPr>
              <w:t xml:space="preserve"/>
            </w:r>
          </w:p>
          <w:p>
            <w:pPr>
              <w:spacing w:after="80" w:before="0"/>
            </w:pPr>
            <w:r>
              <w:rPr>
                <w:rFonts w:ascii="Arial" w:cs="Arial" w:eastAsia="Arial" w:hAnsi="Arial"/>
                <w:color w:val="1A1A1A"/>
                <w:sz w:val="20"/>
                <w:szCs w:val="20"/>
              </w:rPr>
              <w:t xml:space="preserve"/>
            </w:r>
          </w:p>
          <w:p>
            <w:pPr>
              <w:spacing w:after="80" w:before="0"/>
            </w:pPr>
            <w:r>
              <w:rPr>
                <w:rFonts w:ascii="Arial" w:cs="Arial" w:eastAsia="Arial" w:hAnsi="Arial"/>
                <w:color w:val="1A1A1A"/>
                <w:sz w:val="20"/>
                <w:szCs w:val="20"/>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1.3  Customer Segments Affected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rPr>
          <w:tblHeader/>
        </w:trPr>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Customer Segment</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Estimated # Affected</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Contract Tier</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SLA Applies?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Enterprise</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Tier 1</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Mid-Market</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Tier 2</w:t>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SMB</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Tier 3</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Free / Trial</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None</w:t>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No</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Internal / Admin</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N/A</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No</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1.4  Observability Requirements</w:t>
      </w:r>
    </w:p>
    <w:p>
      <w:pPr>
        <w:spacing w:after="140" w:before="0"/>
      </w:pPr>
      <w:r>
        <w:rPr>
          <w:rFonts w:ascii="Arial" w:cs="Arial" w:eastAsia="Arial" w:hAnsi="Arial"/>
          <w:color w:val="1A1A1A"/>
          <w:sz w:val="20"/>
          <w:szCs w:val="20"/>
        </w:rPr>
        <w:t xml:space="preserve">List every event, transaction, and state that must be measurable in production. Be specific — not 'we will add logging' but exactly what must be observable.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920"/>
        <w:gridCol w:w="2160"/>
        <w:gridCol w:w="192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What Must Be Observable</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How (Log/Metric/Alert)</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 System</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Priority (H/M/L)</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1.5  Failure Mode Inventory</w:t>
      </w:r>
    </w:p>
    <w:p>
      <w:pPr>
        <w:spacing w:after="140" w:before="0"/>
      </w:pPr>
      <w:r>
        <w:rPr>
          <w:rFonts w:ascii="Arial" w:cs="Arial" w:eastAsia="Arial" w:hAnsi="Arial"/>
          <w:color w:val="1A1A1A"/>
          <w:sz w:val="20"/>
          <w:szCs w:val="20"/>
        </w:rPr>
        <w:t xml:space="preserve">List every way this feature can fail. For each mode, define the customer experience and expected initial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560"/>
        <w:gridCol w:w="1920"/>
        <w:gridCol w:w="1920"/>
        <w:gridCol w:w="1800"/>
      </w:tblGrid>
      <w:tr>
        <w:trPr>
          <w:tblHeader/>
        </w:trPr>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Mode</w:t>
            </w:r>
          </w:p>
        </w:tc>
        <w:tc>
          <w:tcPr>
            <w:tcW w:type="dxa" w:w="1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Customer Experience</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Expected Detection</w:t>
            </w:r>
          </w:p>
        </w:tc>
        <w:tc>
          <w:tcPr>
            <w:tcW w:type="dxa" w:w="1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Initial Response</w:t>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Complete Outage</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Partial Failure</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Degraded State</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Data Issue</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Performance</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Security / Auth</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1.6  Business Impact Pre-Classification</w:t>
      </w:r>
    </w:p>
    <w:p>
      <w:pPr>
        <w:spacing w:after="140" w:before="0"/>
      </w:pPr>
      <w:r>
        <w:rPr>
          <w:rFonts w:ascii="Arial" w:cs="Arial" w:eastAsia="Arial" w:hAnsi="Arial"/>
          <w:color w:val="1A1A1A"/>
          <w:sz w:val="20"/>
          <w:szCs w:val="20"/>
        </w:rPr>
        <w:t xml:space="preserve">Define the Business Impact Score for each failure mode before the feature ships. This becomes the live classification the moment the feature reaches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680"/>
        <w:gridCol w:w="1680"/>
        <w:gridCol w:w="1680"/>
        <w:gridCol w:w="1680"/>
      </w:tblGrid>
      <w:tr>
        <w:trPr>
          <w:tblHeader/>
        </w:trPr>
        <w:tc>
          <w:tcPr>
            <w:tcW w:type="dxa" w:w="26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Mode</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Customer Impact (CI-1 to CI-4)</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Business Impact (BI-1 to BI-4)</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Revenue at Risk ($)</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Escalation Level</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pBdr>
          <w:left w:val="single" w:color="2E86C1" w:sz="16" w:space="8"/>
        </w:pBdr>
        <w:spacing w:after="140" w:before="100"/>
        <w:ind w:left="360"/>
      </w:pPr>
      <w:r>
        <w:rPr>
          <w:rFonts w:ascii="Arial" w:cs="Arial" w:eastAsia="Arial" w:hAnsi="Arial"/>
          <w:i/>
          <w:iCs/>
          <w:color w:val="555555"/>
          <w:sz w:val="20"/>
          <w:szCs w:val="20"/>
        </w:rPr>
        <w:t xml:space="preserve">CI = Customer Impact 1–4. BI = Business Impact 1–4. Escalation: L1 = Support  |  L2 = Engineering  |  L3 = VP  |  L4 = CEO / Executive</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1.7  Support Readiness Criteria</w:t>
      </w:r>
    </w:p>
    <w:p>
      <w:pPr>
        <w:spacing w:after="140" w:before="0"/>
      </w:pPr>
      <w:r>
        <w:rPr>
          <w:rFonts w:ascii="Arial" w:cs="Arial" w:eastAsia="Arial" w:hAnsi="Arial"/>
          <w:color w:val="1A1A1A"/>
          <w:sz w:val="20"/>
          <w:szCs w:val="20"/>
        </w:rPr>
        <w:t xml:space="preserve">The specific conditions that must be true before support can operate this feature independently. These become acceptance criteria for Phases 3, 4, and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20"/>
        <w:gridCol w:w="1920"/>
        <w:gridCol w:w="1920"/>
      </w:tblGrid>
      <w:tr>
        <w:trPr>
          <w:tblHeader/>
        </w:trPr>
        <w:tc>
          <w:tcPr>
            <w:tcW w:type="dxa" w:w="55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Readiness Criterion</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Owner</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Target Phase</w:t>
            </w:r>
          </w:p>
        </w:tc>
      </w:tr>
      <w:tr>
        <w:tc>
          <w:tcPr>
            <w:tcW w:type="dxa" w:w="55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Logging standard implemented and verified</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Engineering</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SIC (Build)</w:t>
            </w:r>
          </w:p>
        </w:tc>
      </w:tr>
      <w:tr>
        <w:tc>
          <w:tcPr>
            <w:tcW w:type="dxa" w:w="55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Monitoring dashboards live with established baseline</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Eng / Support</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STP (Test)</w:t>
            </w:r>
          </w:p>
        </w:tc>
      </w:tr>
      <w:tr>
        <w:tc>
          <w:tcPr>
            <w:tcW w:type="dxa" w:w="55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All alerts configured and tested</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Eng / Support</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STP (Test)</w:t>
            </w:r>
          </w:p>
        </w:tc>
      </w:tr>
      <w:tr>
        <w:tc>
          <w:tcPr>
            <w:tcW w:type="dxa" w:w="55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Runbook written, reviewed, and published</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STP (Test)</w:t>
            </w:r>
          </w:p>
        </w:tc>
      </w:tr>
      <w:tr>
        <w:tc>
          <w:tcPr>
            <w:tcW w:type="dxa" w:w="55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Customer impact classification loaded in ticketing system</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SRR (Release)</w:t>
            </w:r>
          </w:p>
        </w:tc>
      </w:tr>
      <w:tr>
        <w:tc>
          <w:tcPr>
            <w:tcW w:type="dxa" w:w="55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On-call rotation updated to include this feature</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 Lead</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SRR (Release)</w:t>
            </w:r>
          </w:p>
        </w:tc>
      </w:tr>
      <w:tr>
        <w:tc>
          <w:tcPr>
            <w:tcW w:type="dxa" w:w="55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 team trained on feature behaviour and failure modes</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 Lead</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SRR (Release)</w:t>
            </w:r>
          </w:p>
        </w:tc>
      </w:tr>
      <w:tr>
        <w:tc>
          <w:tcPr>
            <w:tcW w:type="dxa" w:w="55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Rollback procedure documented and tested</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Engineering</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SRR (Release)</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1.8  Escalation Path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Primary Support Owner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Engineering Escalation</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VP / Executive Escalation</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On-Call Coverage Required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Escalation at BI Level</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BI-1: CEO  |  BI-2: VP  |  BI-3: Engineering  |  BI-4: Support only</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Customer Communication At</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BI-1: Immediate  |  BI-2: Within 30 min  |  BI-3: Within 2 hrs  |  BI-4: On resolution</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1.9  Regulatory and Compliance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560"/>
        <w:gridCol w:w="3000"/>
      </w:tblGrid>
      <w:tr>
        <w:trPr>
          <w:tblHeader/>
        </w:trPr>
        <w:tc>
          <w:tcPr>
            <w:tcW w:type="dxa" w:w="4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Compliance Consideration</w:t>
            </w:r>
          </w:p>
        </w:tc>
        <w:tc>
          <w:tcPr>
            <w:tcW w:type="dxa" w:w="1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Applies?</w:t>
            </w:r>
          </w:p>
        </w:tc>
        <w:tc>
          <w:tcPr>
            <w:tcW w:type="dxa" w:w="30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 / Obligations</w:t>
            </w:r>
          </w:p>
        </w:tc>
      </w:tr>
      <w:tr>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Personally Identifiable Information (PII) involved</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Financial data processed or stored</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Health / medical data involved</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Regulatory reporting obligation on failure</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Data residency requirements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Audit trail required</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30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1.10  Sign-Off</w:t>
      </w:r>
    </w:p>
    <w:p>
      <w:pPr>
        <w:pBdr>
          <w:left w:val="single" w:color="2E86C1" w:sz="16" w:space="8"/>
        </w:pBdr>
        <w:spacing w:after="140" w:before="100"/>
        <w:ind w:left="360"/>
      </w:pPr>
      <w:r>
        <w:rPr>
          <w:rFonts w:ascii="Arial" w:cs="Arial" w:eastAsia="Arial" w:hAnsi="Arial"/>
          <w:i/>
          <w:iCs/>
          <w:color w:val="555555"/>
          <w:sz w:val="20"/>
          <w:szCs w:val="20"/>
        </w:rPr>
        <w:t xml:space="preserve">All parties must sign before design begins. Outstanding items must be resolved — not carried forward.</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Product Owner</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Engineering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QA Lead</w:t>
            </w:r>
          </w:p>
        </w:tc>
      </w:tr>
      <w:tr>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ectPr>
          <w:headerReference w:type="default" r:id="rId7"/>
          <w:footerReference w:type="default" r:id="rId8"/>
          <w:pgSz w:w="12240" w:h="15840" w:orient="portrait"/>
          <w:pgMar w:top="1200" w:right="1260" w:bottom="1200" w:left="126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2: SUPPORTABILITY ARCHITECTURE REVIEW (SAR)</w:t>
      </w:r>
    </w:p>
    <w:p>
      <w:pPr>
        <w:spacing w:after="140" w:before="0"/>
      </w:pPr>
      <w:r>
        <w:rPr>
          <w:rFonts w:ascii="Arial" w:cs="Arial" w:eastAsia="Arial" w:hAnsi="Arial"/>
          <w:i/>
          <w:iCs/>
          <w:color w:val="555555"/>
          <w:sz w:val="20"/>
          <w:szCs w:val="20"/>
        </w:rPr>
        <w:t xml:space="preserve">Purpose: Reviews every architectural decision through a supportability lens before build begins. Produces a failure point map, observability gap list, and trace boundary definition. Open SAR items become mandatory acceptance criteria for the Build phase.</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SRD 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Architecture Author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SAR Reviewer (Support)</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SAR Reviewer (Security)</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Date of Review</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Architecture Version</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2.2  Architecture Component Inventory</w:t>
      </w:r>
    </w:p>
    <w:p>
      <w:pPr>
        <w:spacing w:after="140" w:before="0"/>
      </w:pPr>
      <w:r>
        <w:rPr>
          <w:rFonts w:ascii="Arial" w:cs="Arial" w:eastAsia="Arial" w:hAnsi="Arial"/>
          <w:color w:val="1A1A1A"/>
          <w:sz w:val="20"/>
          <w:szCs w:val="20"/>
        </w:rPr>
        <w:t xml:space="preserve">Attach or embed the architecture diagram above this table. Annotate it: (G) = observable gap  |  (P) = partially observable  |  (OK) = fully observable.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160"/>
        <w:gridCol w:w="2400"/>
      </w:tblGrid>
      <w:tr>
        <w:trPr>
          <w:tblHeader/>
        </w:trPr>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Component / Service</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Technology / Stack</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Role in Feature</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Observability Status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OK / Partial / Gap</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2.3  Failure Point Map</w:t>
      </w:r>
    </w:p>
    <w:p>
      <w:pPr>
        <w:spacing w:after="140" w:before="0"/>
      </w:pPr>
      <w:r>
        <w:rPr>
          <w:rFonts w:ascii="Arial" w:cs="Arial" w:eastAsia="Arial" w:hAnsi="Arial"/>
          <w:color w:val="1A1A1A"/>
          <w:sz w:val="20"/>
          <w:szCs w:val="20"/>
        </w:rPr>
        <w:t xml:space="preserve">Every point where a failure can occur. Assess whether support can detect and diagnose it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1800"/>
        <w:gridCol w:w="1560"/>
        <w:gridCol w:w="2160"/>
      </w:tblGrid>
      <w:tr>
        <w:trPr>
          <w:tblHeader/>
        </w:trPr>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Point</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Observable?</w:t>
            </w:r>
          </w:p>
        </w:tc>
        <w:tc>
          <w:tcPr>
            <w:tcW w:type="dxa" w:w="1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Diagnosable by Support?</w:t>
            </w:r>
          </w:p>
        </w:tc>
        <w:tc>
          <w:tcPr>
            <w:tcW w:type="dxa" w:w="1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Blind Spot?</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Remediation Required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2.4  Observability Gap List</w:t>
      </w:r>
    </w:p>
    <w:p>
      <w:pPr>
        <w:spacing w:after="140" w:before="0"/>
      </w:pPr>
      <w:r>
        <w:rPr>
          <w:rFonts w:ascii="Arial" w:cs="Arial" w:eastAsia="Arial" w:hAnsi="Arial"/>
          <w:color w:val="1A1A1A"/>
          <w:sz w:val="20"/>
          <w:szCs w:val="20"/>
        </w:rPr>
        <w:t xml:space="preserve">Every blind spot from the failure point map. Prioritize and assign. All High gaps must be closed before build completes.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440"/>
        <w:gridCol w:w="2640"/>
        <w:gridCol w:w="192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Gap Description</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Priority (H/M/L)</w:t>
            </w:r>
          </w:p>
        </w:tc>
        <w:tc>
          <w:tcPr>
            <w:tcW w:type="dxa" w:w="26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Recommended Approach</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Assigned To</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2.5  Trace Boundary Definition</w:t>
      </w:r>
    </w:p>
    <w:p>
      <w:pPr>
        <w:spacing w:after="140" w:before="0"/>
      </w:pPr>
      <w:r>
        <w:rPr>
          <w:rFonts w:ascii="Arial" w:cs="Arial" w:eastAsia="Arial" w:hAnsi="Arial"/>
          <w:color w:val="1A1A1A"/>
          <w:sz w:val="20"/>
          <w:szCs w:val="20"/>
        </w:rPr>
        <w:t xml:space="preserve">Every transaction must carry a correlation ID from origin to final destination. Define where tracing is intact and where it breaks.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2160"/>
        <w:gridCol w:w="2160"/>
        <w:gridCol w:w="2400"/>
      </w:tblGrid>
      <w:tr>
        <w:trPr>
          <w:tblHeader/>
        </w:trPr>
        <w:tc>
          <w:tcPr>
            <w:tcW w:type="dxa" w:w="26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Service / Component</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Receives Correlation ID?</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Propagates Correlation ID?</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Trace Break Point?</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2.6  Degradation Path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1800"/>
        <w:gridCol w:w="2280"/>
      </w:tblGrid>
      <w:tr>
        <w:trPr>
          <w:tblHeader/>
        </w:trPr>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Point</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Graceful Degradation Behaviour</w:t>
            </w:r>
          </w:p>
        </w:tc>
        <w:tc>
          <w:tcPr>
            <w:tcW w:type="dxa" w:w="1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Detectable?</w:t>
            </w:r>
          </w:p>
        </w:tc>
        <w:tc>
          <w:tcPr>
            <w:tcW w:type="dxa" w:w="22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2.7  Dependency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680"/>
        <w:gridCol w:w="1680"/>
        <w:gridCol w:w="2400"/>
      </w:tblGrid>
      <w:tr>
        <w:trPr>
          <w:tblHeader/>
        </w:trPr>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External Dependency</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Slow Response Impact</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Unavailable Impact</w:t>
            </w:r>
          </w:p>
        </w:tc>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Detection Method</w:t>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API/DB/Service</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API/DB/Service</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API/DB/Service</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API/DB/Service</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API/DB/Service</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2.8  Open Items — Become Build 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4560"/>
        <w:gridCol w:w="2160"/>
        <w:gridCol w:w="216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4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Open Item</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Owner</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Must Close By</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2.9  Sign-Off</w:t>
      </w:r>
    </w:p>
    <w:p>
      <w:pPr>
        <w:pBdr>
          <w:left w:val="single" w:color="2E86C1" w:sz="16" w:space="8"/>
        </w:pBdr>
        <w:spacing w:after="140" w:before="100"/>
        <w:ind w:left="360"/>
      </w:pPr>
      <w:r>
        <w:rPr>
          <w:rFonts w:ascii="Arial" w:cs="Arial" w:eastAsia="Arial" w:hAnsi="Arial"/>
          <w:i/>
          <w:iCs/>
          <w:color w:val="555555"/>
          <w:sz w:val="20"/>
          <w:szCs w:val="20"/>
        </w:rPr>
        <w:t xml:space="preserve">All High priority gaps must be resolved or have a documented remediation plan before sign-off.</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Engineering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Architecture Reviewer</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Security Reviewer</w:t>
            </w:r>
          </w:p>
        </w:tc>
      </w:tr>
      <w:tr>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ectPr>
          <w:headerReference w:type="default" r:id="rId9"/>
          <w:footerReference w:type="default" r:id="rId10"/>
          <w:pgSz w:w="12240" w:h="15840" w:orient="portrait"/>
          <w:pgMar w:top="1200" w:right="1260" w:bottom="1200" w:left="126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3: SUPPORTABILITY IMPLEMENTATION CHECKLIST (SIC)</w:t>
      </w:r>
    </w:p>
    <w:p>
      <w:pPr>
        <w:spacing w:after="140" w:before="0"/>
      </w:pPr>
      <w:r>
        <w:rPr>
          <w:rFonts w:ascii="Arial" w:cs="Arial" w:eastAsia="Arial" w:hAnsi="Arial"/>
          <w:i/>
          <w:iCs/>
          <w:color w:val="555555"/>
          <w:sz w:val="20"/>
          <w:szCs w:val="20"/>
        </w:rPr>
        <w:t xml:space="preserve">Purpose: Verifies that supportability standards are correctly implemented during build. Attached to development tickets and required in pull request review. A PR cannot be merged without the SIC completed and signed off by the reviewer.</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3.1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SRD 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SAR Reference Number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Developer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PR / Ticket Number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Code Reviewer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Date Completed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3.2  Implementation Checklist</w:t>
      </w:r>
    </w:p>
    <w:p>
      <w:pPr>
        <w:pBdr>
          <w:left w:val="single" w:color="2E86C1" w:sz="16" w:space="8"/>
        </w:pBdr>
        <w:spacing w:after="140" w:before="100"/>
        <w:ind w:left="360"/>
      </w:pPr>
      <w:r>
        <w:rPr>
          <w:rFonts w:ascii="Arial" w:cs="Arial" w:eastAsia="Arial" w:hAnsi="Arial"/>
          <w:i/>
          <w:iCs/>
          <w:color w:val="555555"/>
          <w:sz w:val="20"/>
          <w:szCs w:val="20"/>
        </w:rPr>
        <w:t xml:space="preserve">Required items must be complete before merge. Items marked 'If applicable' must be marked N/A with brief justification if not implemented.</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6960"/>
        <w:gridCol w:w="1920"/>
      </w:tblGrid>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LOGGING IMPLEMENTATION</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Structured log entries present at every transaction boundary — entry and exit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Correct log levels used: DEBUG = trace detail  |  INFO = state change  |  WARN = recoverable error  |  ERROR = failure  |  FATAL = unrecoverable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Correlation ID accepted from upstream, propagated downstream, and included in every log entry</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No sensitive data present in any log output — no PII, credentials, or tokens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Log output is structured JSON — not free-form text strings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Log verbosity is appropriate — signal not noise. No chatty debug logging in production paths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All error log entries include: error code, message, component name, correlation ID, and affected entity ID</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ERROR HANDLING</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Every error state returns a meaningful, actionable message — not a generic 500 error</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Errors categorized: transient (retry candidate) vs. permanent (escalate immediately)</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Recoverable errors handled gracefully with appropriate retry logic and backoff</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Unrecoverable errors trigger appropriate alerts and initiate the escalation path</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Error rates instrumented as a metric — not only captured in logs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Circuit breaker implemented for all external dependency calls</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METRIC INSTRUMENTATION — FOUR GOLDEN SIGNALS</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Latency: request/response time instrumented and exposed as a metric</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Error Rate: percentage of failed requests instrumented as a metric</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Throughput: requests per second or transactions per minute instrumented</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Saturation: resource utilization — CPU, memory, queue depth — instrumented</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Custom business metrics defined in Section 1.4 of the SRD are instrumented</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UNIT TEST COVERAGE FOR FAILURE MODES</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Every failure mode in the SRD Failure Mode Inventory has a corresponding unit test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Unit tests validate correct error handling behaviour for each failure mode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Unit tests validate correct log output — right fields, right level — for each failure mode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Unit tests validate correct metric emission for each failure mode</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Integration tests cover cross-service failure scenarios</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CODE REVIEW — SUPPORTABILITY GATE</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Reviewer has explicitly checked logging completeness — not only functional correctness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Reviewer has verified correlation ID propagation is intact across all service calls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Reviewer has confirmed no sensitive data present in any log output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Reviewer has confirmed all failure modes from the SRD are handled in code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Reviewer has verified metric instrumentation is complete and matches SRD requirements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3.3  Outstanding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4800"/>
        <w:gridCol w:w="2160"/>
        <w:gridCol w:w="192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4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Item Not Completed — Reason / Justification</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Owner</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Resolution Target</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3.4  Sign-Off</w:t>
      </w:r>
    </w:p>
    <w:p>
      <w:pPr>
        <w:pBdr>
          <w:left w:val="single" w:color="2E86C1" w:sz="16" w:space="8"/>
        </w:pBdr>
        <w:spacing w:after="140" w:before="100"/>
        <w:ind w:left="360"/>
      </w:pPr>
      <w:r>
        <w:rPr>
          <w:rFonts w:ascii="Arial" w:cs="Arial" w:eastAsia="Arial" w:hAnsi="Arial"/>
          <w:i/>
          <w:iCs/>
          <w:color w:val="555555"/>
          <w:sz w:val="20"/>
          <w:szCs w:val="20"/>
        </w:rPr>
        <w:t xml:space="preserve">Developer confirms all required items are complete or have documented justification. Reviewer confirms independent verification of each item.</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Developer</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Code Reviewer</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Representative</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ectPr>
          <w:headerReference w:type="default" r:id="rId11"/>
          <w:footerReference w:type="default" r:id="rId12"/>
          <w:pgSz w:w="12240" w:h="15840" w:orient="portrait"/>
          <w:pgMar w:top="1200" w:right="1260" w:bottom="1200" w:left="126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4: SUPPORTABILITY TEST PLAN (STP)</w:t>
      </w:r>
    </w:p>
    <w:p>
      <w:pPr>
        <w:spacing w:after="140" w:before="0"/>
      </w:pPr>
      <w:r>
        <w:rPr>
          <w:rFonts w:ascii="Arial" w:cs="Arial" w:eastAsia="Arial" w:hAnsi="Arial"/>
          <w:i/>
          <w:iCs/>
          <w:color w:val="555555"/>
          <w:sz w:val="20"/>
          <w:szCs w:val="20"/>
        </w:rPr>
        <w:t xml:space="preserve">Purpose: Validates in a test environment that every failure mode can be detected, diagnosed, and escalated correctly by support — without engineering involvement. Release is blocked if any required test fails.</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SRD 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Test Environment</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STP Author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Support Tester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QA Lead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Test Execution Date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Overall Test Result</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4.2  Failure Injection Testing</w:t>
      </w:r>
    </w:p>
    <w:p>
      <w:pPr>
        <w:spacing w:after="140" w:before="0"/>
      </w:pPr>
      <w:r>
        <w:rPr>
          <w:rFonts w:ascii="Arial" w:cs="Arial" w:eastAsia="Arial" w:hAnsi="Arial"/>
          <w:color w:val="1A1A1A"/>
          <w:sz w:val="20"/>
          <w:szCs w:val="20"/>
        </w:rPr>
        <w:t xml:space="preserve">Deliberately trigger each failure mode from the SRD. Verify detection, logging, alerting, and correct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440"/>
        <w:gridCol w:w="1440"/>
        <w:gridCol w:w="1680"/>
      </w:tblGrid>
      <w:tr>
        <w:trPr>
          <w:tblHeader/>
        </w:trPr>
        <w:tc>
          <w:tcPr>
            <w:tcW w:type="dxa" w:w="24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Mode</w:t>
            </w:r>
          </w:p>
        </w:tc>
        <w:tc>
          <w:tcPr>
            <w:tcW w:type="dxa" w:w="12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Triggered?</w:t>
            </w:r>
          </w:p>
        </w:tc>
        <w:tc>
          <w:tcPr>
            <w:tcW w:type="dxa" w:w="12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Detected?</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Logged Correctly?</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Alert Fired?</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Pass / Fail</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4.3  Log Quality Review</w:t>
      </w:r>
    </w:p>
    <w:p>
      <w:pPr>
        <w:spacing w:after="140" w:before="0"/>
      </w:pPr>
      <w:r>
        <w:rPr>
          <w:rFonts w:ascii="Arial" w:cs="Arial" w:eastAsia="Arial" w:hAnsi="Arial"/>
          <w:color w:val="1A1A1A"/>
          <w:sz w:val="20"/>
          <w:szCs w:val="20"/>
        </w:rPr>
        <w:t xml:space="preserve">Run representative operational scenarios. Review actual log output against the logging standard defined in the SIC.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40"/>
        <w:gridCol w:w="336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Log Quality Criterion</w:t>
            </w:r>
          </w:p>
        </w:tc>
        <w:tc>
          <w:tcPr>
            <w:tcW w:type="dxa" w:w="12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Pass?</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Correlation ID?</w:t>
            </w:r>
          </w:p>
        </w:tc>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Issues Found</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Log entries present at all transaction boundaries</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Correct log levels used throughout</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No sensitive data in any log entry</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Logs searchable by customer ID / entity ID</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Log volume appropriate — not noisy</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Full trace reconstructable via correlation ID</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4.4  Alert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320"/>
        <w:gridCol w:w="1440"/>
        <w:gridCol w:w="1680"/>
        <w:gridCol w:w="2280"/>
      </w:tblGrid>
      <w:tr>
        <w:trPr>
          <w:tblHeader/>
        </w:trPr>
        <w:tc>
          <w:tcPr>
            <w:tcW w:type="dxa" w:w="26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Alert Name</w:t>
            </w:r>
          </w:p>
        </w:tc>
        <w:tc>
          <w:tcPr>
            <w:tcW w:type="dxa" w:w="13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Fired?</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Correct Severity?</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Correct Destination?</w:t>
            </w:r>
          </w:p>
        </w:tc>
        <w:tc>
          <w:tcPr>
            <w:tcW w:type="dxa" w:w="22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Context Sufficient?</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2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4.5  Dashboard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60"/>
        <w:gridCol w:w="1560"/>
        <w:gridCol w:w="288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Dashboard / Panel</w:t>
            </w:r>
          </w:p>
        </w:tc>
        <w:tc>
          <w:tcPr>
            <w:tcW w:type="dxa" w:w="1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Reflects Healthy State?</w:t>
            </w:r>
          </w:p>
        </w:tc>
        <w:tc>
          <w:tcPr>
            <w:tcW w:type="dxa" w:w="15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Reflects Failure State?</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Support operations dashboard</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Engineering / on-call dashboard</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Executive / business impact view</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Customer-facing status page (if any)</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5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4.6  Runbook Walkthrough</w:t>
      </w:r>
    </w:p>
    <w:p>
      <w:pPr>
        <w:spacing w:after="140" w:before="0"/>
      </w:pPr>
      <w:r>
        <w:rPr>
          <w:rFonts w:ascii="Arial" w:cs="Arial" w:eastAsia="Arial" w:hAnsi="Arial"/>
          <w:color w:val="1A1A1A"/>
          <w:sz w:val="20"/>
          <w:szCs w:val="20"/>
        </w:rPr>
        <w:t xml:space="preserve">A support engineer unfamiliar with the feature executes each runbook using only the logs, alerts, and dashboards available. If they cannot complete it independently, the runbook or observability is inadequate.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680"/>
        <w:gridCol w:w="1440"/>
        <w:gridCol w:w="3600"/>
      </w:tblGrid>
      <w:tr>
        <w:trPr>
          <w:tblHeader/>
        </w:trPr>
        <w:tc>
          <w:tcPr>
            <w:tcW w:type="dxa" w:w="26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Failure Mode / Runbook</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Completed Independently?</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Time to Diagnose</w:t>
            </w:r>
          </w:p>
        </w:tc>
        <w:tc>
          <w:tcPr>
            <w:tcW w:type="dxa" w:w="36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Gaps Found — Action Required</w:t>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__ mins</w:t>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__ mins</w:t>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__ mins</w:t>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__ mins</w:t>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6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__ mins</w:t>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4.7  On-Call Simulation (Tabletop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Scenario Simulated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Incident Severity (BI Level)</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BI-?</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Participants</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Duration</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Was escalation path correct?</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Was customer comms triggered?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 / No  |  At correct time?  Yes / No</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Was PIR process initiated?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 / No</w:t>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Key gaps identified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Actions required before go-live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4.8  Overall Test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Test Area</w:t>
            </w:r>
          </w:p>
        </w:tc>
        <w:tc>
          <w:tcPr>
            <w:tcW w:type="dxa" w:w="4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Result</w:t>
            </w:r>
          </w:p>
        </w:tc>
      </w:tr>
      <w:tr>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Failure Injection Testing</w:t>
            </w:r>
          </w:p>
        </w:tc>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Log Quality Review</w:t>
            </w:r>
          </w:p>
        </w:tc>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Alert Validation</w:t>
            </w:r>
          </w:p>
        </w:tc>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Dashboard Verification</w:t>
            </w:r>
          </w:p>
        </w:tc>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Runbook Walkthrough</w:t>
            </w:r>
          </w:p>
        </w:tc>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On-Call Simulation</w:t>
            </w:r>
          </w:p>
        </w:tc>
        <w:tc>
          <w:tcPr>
            <w:tcW w:type="dxa" w:w="4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Pass / Fail / Partial</w:t>
            </w:r>
          </w:p>
        </w:tc>
      </w:tr>
      <w:tr>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b/>
                <w:bCs/>
                <w:color w:val="1A1A1A"/>
                <w:sz w:val="19"/>
                <w:szCs w:val="19"/>
              </w:rPr>
              <w:t xml:space="preserve">OVERALL RECOMMENDATION</w:t>
            </w:r>
          </w:p>
        </w:tc>
        <w:tc>
          <w:tcPr>
            <w:tcW w:type="dxa" w:w="4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b/>
                <w:bCs/>
                <w:color w:val="C0570A"/>
                <w:sz w:val="19"/>
                <w:szCs w:val="19"/>
              </w:rPr>
              <w:t xml:space="preserve">APPROVED FOR RELEASE  /  BLOCKED — REMEDIATION REQUIRED</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4.9  Sign-Off</w:t>
      </w:r>
    </w:p>
    <w:p>
      <w:pPr>
        <w:pBdr>
          <w:left w:val="single" w:color="2E86C1" w:sz="16" w:space="8"/>
        </w:pBdr>
        <w:spacing w:after="140" w:before="100"/>
        <w:ind w:left="360"/>
      </w:pPr>
      <w:r>
        <w:rPr>
          <w:rFonts w:ascii="Arial" w:cs="Arial" w:eastAsia="Arial" w:hAnsi="Arial"/>
          <w:i/>
          <w:iCs/>
          <w:color w:val="555555"/>
          <w:sz w:val="20"/>
          <w:szCs w:val="20"/>
        </w:rPr>
        <w:t xml:space="preserve">Release is blocked if the overall recommendation is BLOCKED. All failing items must be remediated and re-tested before sign-off.</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QA Lead</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Lead</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Engineering Lead</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ectPr>
          <w:headerReference w:type="default" r:id="rId13"/>
          <w:footerReference w:type="default" r:id="rId14"/>
          <w:pgSz w:w="12240" w:h="15840" w:orient="portrait"/>
          <w:pgMar w:top="1200" w:right="1260" w:bottom="1200" w:left="126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5: SUPPORT READINESS REVIEW (SRR)</w:t>
      </w:r>
    </w:p>
    <w:p>
      <w:pPr>
        <w:spacing w:after="140" w:before="0"/>
      </w:pPr>
      <w:r>
        <w:rPr>
          <w:rFonts w:ascii="Arial" w:cs="Arial" w:eastAsia="Arial" w:hAnsi="Arial"/>
          <w:i/>
          <w:iCs/>
          <w:color w:val="555555"/>
          <w:sz w:val="20"/>
          <w:szCs w:val="20"/>
        </w:rPr>
        <w:t xml:space="preserve">Purpose: The final gate before production. Confirms all upstream deliverables are complete and support can operate the feature independently from the moment it goes live. Release does not proceed without Support Lead and Engineering Lead signatures.</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Target Release Date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SRD Reference Number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SAR 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SIC Reference Number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STP Reference Number</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SRR Conducted By</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Date of Review</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5.2  Upstream Deliverables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440"/>
        <w:gridCol w:w="1440"/>
        <w:gridCol w:w="312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Deliverable</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Complete?</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Signed Off?</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Open Items Carried Forward?</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SRD — Supportability Requirements Document</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None / List items:</w:t>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SAR — Supportability Architecture Review</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None / List items:</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SIC — Supportability Implementation Checklist</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None / List items:</w:t>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STP — Supportability Test Plan (Pass result)</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Yes/No</w:t>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None / List items:</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5.3  Production Readiness Checklist</w:t>
      </w:r>
    </w:p>
    <w:p>
      <w:pPr>
        <w:pBdr>
          <w:left w:val="single" w:color="2E86C1" w:sz="16" w:space="8"/>
        </w:pBdr>
        <w:spacing w:after="140" w:before="100"/>
        <w:ind w:left="360"/>
      </w:pPr>
      <w:r>
        <w:rPr>
          <w:rFonts w:ascii="Arial" w:cs="Arial" w:eastAsia="Arial" w:hAnsi="Arial"/>
          <w:i/>
          <w:iCs/>
          <w:color w:val="555555"/>
          <w:sz w:val="20"/>
          <w:szCs w:val="20"/>
        </w:rPr>
        <w:t xml:space="preserve">Required items must be complete. The SRR cannot be signed off with any required item unchecked.</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6960"/>
        <w:gridCol w:w="1920"/>
      </w:tblGrid>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MONITORING AND ALERTING</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Production monitoring dashboards are live and verified against expected state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Baseline metrics established from pre-production or load test data</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All alerts active in production environment — routing confirmed end-to-end</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Alert suppression and noise reduction rules configured</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On-call escalation chain tested end-to-end in production configuration</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RUNBOOKS AND DOCUMENTATION</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All runbooks published to support knowledge base and accessible to all support staff</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Runbooks version controlled and linked from incident management system</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Each runbook independently reviewed by a support engineer who did not write it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Reviewer name and review date documented on each runbook</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INCIDENT MANAGEMENT SYSTEM</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Customer impact classification from SRD loaded into ticketing system</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Business impact scores configured for automated classification at triage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Escalation routing rules configured and tested with a live test ticket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On-call rotation updated — this feature is assigned to a named owner</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Feature tagged in all relevant incident views, queues, and dashboards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ROLLBACK AND CONTINUITY</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Rollback procedure documented and accessible to support without engineering</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Rollback tested successfully in pre-production environment</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Feature flag or kill switch available for rapid disable without a deployment</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Data recovery procedure documented if feature involves data writes</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Disaster recovery implications assessed and documented</w:t>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COMMUNICATION READINESS</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Customer-facing communication templates drafted and approved for each BI level</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Internal executive flash report template ready and accessible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Account management team briefed on feature and key impact scenarios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Status page or customer portal update process confirmed</w:t>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b w:val="false"/>
                <w:bCs w:val="false"/>
                <w:color w:val="555555"/>
                <w:sz w:val="18"/>
                <w:szCs w:val="18"/>
              </w:rPr>
              <w:t xml:space="preserve">If applicable</w:t>
            </w:r>
          </w:p>
        </w:tc>
      </w:tr>
      <w:tr>
        <w:tc>
          <w:tcPr>
            <w:tcW w:type="dxa" w:w="9360"/>
            <w:gridSpan w:val="3"/>
            <w:tcBorders>
              <w:top w:val="single" w:color="1A3E5C" w:sz="4"/>
              <w:left w:val="single" w:color="1A3E5C" w:sz="4"/>
              <w:bottom w:val="single" w:color="1A3E5C" w:sz="4"/>
              <w:right w:val="single" w:color="1A3E5C" w:sz="4"/>
            </w:tcBorders>
            <w:shd w:fill="1A3E5C" w:val="clear"/>
            <w:tcMar>
              <w:top w:type="dxa" w:w="60"/>
              <w:left w:type="dxa" w:w="120"/>
              <w:bottom w:type="dxa" w:w="60"/>
              <w:right w:type="dxa" w:w="120"/>
            </w:tcMar>
          </w:tcPr>
          <w:p>
            <w:r>
              <w:rPr>
                <w:rFonts w:ascii="Arial" w:cs="Arial" w:eastAsia="Arial" w:hAnsi="Arial"/>
                <w:b/>
                <w:bCs/>
                <w:color w:val="FFFFFF"/>
                <w:sz w:val="19"/>
                <w:szCs w:val="19"/>
              </w:rPr>
              <w:t xml:space="preserve">TEAM READINESS</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All support staff trained on the new feature's expected behaviour and failure modes</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 team has completed at least one runbook walkthrough per failure mode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Engineering on-call briefed on expected support escalation patterns for this feature</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pPr>
              <w:jc w:val="center"/>
            </w:pPr>
            <w:r>
              <w:rPr>
                <w:rFonts w:ascii="Arial" w:cs="Arial" w:eastAsia="Arial" w:hAnsi="Arial"/>
                <w:color w:val="1A1A1A"/>
                <w:sz w:val="22"/>
                <w:szCs w:val="22"/>
              </w:rPr>
              <w:t xml:space="preser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All escalation contacts confirmed reachable and aware they are on the escalation path</w:t>
            </w:r>
          </w:p>
        </w:tc>
        <w:tc>
          <w:tcPr>
            <w:tcW w:type="dxa" w:w="1920"/>
            <w:tcBorders>
              <w:top w:val="single" w:color="CCCCCC" w:sz="4"/>
              <w:left w:val="single" w:color="CCCCCC" w:sz="4"/>
              <w:bottom w:val="single" w:color="CCCCCC" w:sz="4"/>
              <w:right w:val="single" w:color="CCCCCC" w:sz="4"/>
            </w:tcBorders>
            <w:shd w:fill="FDECEA" w:val="clear"/>
            <w:tcMar>
              <w:top w:type="dxa" w:w="60"/>
              <w:left w:type="dxa" w:w="120"/>
              <w:bottom w:type="dxa" w:w="60"/>
              <w:right w:type="dxa" w:w="120"/>
            </w:tcMar>
          </w:tcPr>
          <w:p>
            <w:pPr>
              <w:jc w:val="center"/>
            </w:pPr>
            <w:r>
              <w:rPr>
                <w:rFonts w:ascii="Arial" w:cs="Arial" w:eastAsia="Arial" w:hAnsi="Arial"/>
                <w:b/>
                <w:bCs/>
                <w:color w:val="C0570A"/>
                <w:sz w:val="18"/>
                <w:szCs w:val="18"/>
              </w:rPr>
              <w:t xml:space="preserve">Required</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5.4  Outstanding Items</w:t>
      </w:r>
    </w:p>
    <w:p>
      <w:pPr>
        <w:pBdr>
          <w:left w:val="single" w:color="2E86C1" w:sz="16" w:space="8"/>
        </w:pBdr>
        <w:spacing w:after="140" w:before="100"/>
        <w:ind w:left="360"/>
      </w:pPr>
      <w:r>
        <w:rPr>
          <w:rFonts w:ascii="Arial" w:cs="Arial" w:eastAsia="Arial" w:hAnsi="Arial"/>
          <w:i/>
          <w:iCs/>
          <w:color w:val="555555"/>
          <w:sz w:val="20"/>
          <w:szCs w:val="20"/>
        </w:rPr>
        <w:t xml:space="preserve">This table must be empty for release to be approved. Any outstanding item triggers a BLOCKED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4800"/>
        <w:gridCol w:w="2160"/>
        <w:gridCol w:w="192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48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Outstanding Item</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Owner</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Resolution Required By</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48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5.5  Release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Release Decision</w:t>
            </w:r>
          </w:p>
        </w:tc>
      </w:tr>
      <w:tr>
        <w:tc>
          <w:tcPr>
            <w:tcW w:type="dxa" w:w="93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140" w:before="0"/>
            </w:pPr>
            <w:r>
              <w:rPr>
                <w:rFonts w:ascii="Arial" w:cs="Arial" w:eastAsia="Arial" w:hAnsi="Arial"/>
                <w:b/>
                <w:bCs/>
                <w:color w:val="1A7A3C"/>
                <w:sz w:val="20"/>
                <w:szCs w:val="20"/>
              </w:rPr>
              <w:t xml:space="preserve">  □  APPROVED FOR RELEASE — All items complete, no outstanding issues.</w:t>
            </w:r>
          </w:p>
          <w:p>
            <w:pPr>
              <w:spacing w:after="60" w:before="0"/>
            </w:pPr>
            <w:r>
              <w:rPr>
                <w:rFonts w:ascii="Arial" w:cs="Arial" w:eastAsia="Arial" w:hAnsi="Arial"/>
                <w:color w:val="1A1A1A"/>
                <w:sz w:val="20"/>
                <w:szCs w:val="20"/>
              </w:rPr>
              <w:t xml:space="preserve"/>
            </w:r>
          </w:p>
          <w:p>
            <w:pPr>
              <w:spacing w:after="140" w:before="0"/>
            </w:pPr>
            <w:r>
              <w:rPr>
                <w:rFonts w:ascii="Arial" w:cs="Arial" w:eastAsia="Arial" w:hAnsi="Arial"/>
                <w:b/>
                <w:bCs/>
                <w:color w:val="C0570A"/>
                <w:sz w:val="20"/>
                <w:szCs w:val="20"/>
              </w:rPr>
              <w:t xml:space="preserve">  □  CONDITIONAL APPROVAL — Released with the following accepted risks (document below):</w:t>
            </w:r>
          </w:p>
          <w:p>
            <w:pPr>
              <w:spacing w:after="80" w:before="0"/>
            </w:pPr>
            <w:r>
              <w:rPr>
                <w:rFonts w:ascii="Arial" w:cs="Arial" w:eastAsia="Arial" w:hAnsi="Arial"/>
                <w:color w:val="1A1A1A"/>
                <w:sz w:val="20"/>
                <w:szCs w:val="20"/>
              </w:rPr>
              <w:t xml:space="preserve"/>
            </w:r>
          </w:p>
          <w:p>
            <w:pPr>
              <w:spacing w:after="80" w:before="0"/>
            </w:pPr>
            <w:r>
              <w:rPr>
                <w:rFonts w:ascii="Arial" w:cs="Arial" w:eastAsia="Arial" w:hAnsi="Arial"/>
                <w:color w:val="1A1A1A"/>
                <w:sz w:val="20"/>
                <w:szCs w:val="20"/>
              </w:rPr>
              <w:t xml:space="preserve"/>
            </w:r>
          </w:p>
          <w:p>
            <w:pPr>
              <w:spacing w:after="140" w:before="0"/>
            </w:pPr>
            <w:r>
              <w:rPr>
                <w:rFonts w:ascii="Arial" w:cs="Arial" w:eastAsia="Arial" w:hAnsi="Arial"/>
                <w:b/>
                <w:bCs/>
                <w:color w:val="CC0000"/>
                <w:sz w:val="20"/>
                <w:szCs w:val="20"/>
              </w:rPr>
              <w:t xml:space="preserve">  □  BLOCKED — Outstanding items must be resolved and re-reviewed before release.</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5.6  Sign-Off</w:t>
      </w:r>
    </w:p>
    <w:p>
      <w:pPr>
        <w:pBdr>
          <w:left w:val="single" w:color="2E86C1" w:sz="16" w:space="8"/>
        </w:pBdr>
        <w:spacing w:after="140" w:before="100"/>
        <w:ind w:left="360"/>
      </w:pPr>
      <w:r>
        <w:rPr>
          <w:rFonts w:ascii="Arial" w:cs="Arial" w:eastAsia="Arial" w:hAnsi="Arial"/>
          <w:i/>
          <w:iCs/>
          <w:color w:val="555555"/>
          <w:sz w:val="20"/>
          <w:szCs w:val="20"/>
        </w:rPr>
        <w:t xml:space="preserve">Both Support Lead and Engineering Lead must sign. Release does not proceed without both signatures.</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Engineering Lead</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Product Owner</w:t>
            </w:r>
          </w:p>
        </w:tc>
        <w:tc>
          <w:tcPr>
            <w:tcW w:type="dxa" w:w="23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Release Manager</w:t>
            </w:r>
          </w:p>
        </w:tc>
      </w:tr>
      <w:tr>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234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ectPr>
          <w:headerReference w:type="default" r:id="rId15"/>
          <w:footerReference w:type="default" r:id="rId16"/>
          <w:pgSz w:w="12240" w:h="15840" w:orient="portrait"/>
          <w:pgMar w:top="1200" w:right="1260" w:bottom="1200" w:left="1260" w:header="708" w:footer="708" w:gutter="0"/>
          <w:pgNumType/>
          <w:docGrid w:linePitch="360"/>
        </w:sectPr>
      </w:pPr>
    </w:p>
    <w:p>
      <w:pPr>
        <w:pStyle w:val="Heading1"/>
        <w:pBdr>
          <w:bottom w:val="single" w:color="2E86C1" w:sz="8" w:space="2"/>
        </w:pBdr>
        <w:spacing w:after="100" w:before="320"/>
      </w:pPr>
      <w:r>
        <w:rPr>
          <w:rFonts w:ascii="Arial" w:cs="Arial" w:eastAsia="Arial" w:hAnsi="Arial"/>
          <w:b/>
          <w:bCs/>
          <w:color w:val="1A3E5C"/>
          <w:sz w:val="26"/>
          <w:szCs w:val="26"/>
        </w:rPr>
        <w:t xml:space="preserve">TEMPLATE 6: SUPPORTABILITY FEEDBACK LOOP (SFL)</w:t>
      </w:r>
    </w:p>
    <w:p>
      <w:pPr>
        <w:spacing w:after="140" w:before="0"/>
      </w:pPr>
      <w:r>
        <w:rPr>
          <w:rFonts w:ascii="Arial" w:cs="Arial" w:eastAsia="Arial" w:hAnsi="Arial"/>
          <w:i/>
          <w:iCs/>
          <w:color w:val="555555"/>
          <w:sz w:val="20"/>
          <w:szCs w:val="20"/>
        </w:rPr>
        <w:t xml:space="preserve">Purpose: Closes the loop between what happens in production and what gets designed better in the next cycle. Converts operational experience into upstream improvements — making every incident an investment in the framework rather than just a cost.</w:t>
      </w:r>
    </w:p>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6.1  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Feature / Service Name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Review Period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SFL Author</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Support Representative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Engineering Representative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Quarterly Review Date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6.2  Incident Supportability Scoring</w:t>
      </w:r>
    </w:p>
    <w:p>
      <w:pPr>
        <w:spacing w:after="140" w:before="0"/>
      </w:pPr>
      <w:r>
        <w:rPr>
          <w:rFonts w:ascii="Arial" w:cs="Arial" w:eastAsia="Arial" w:hAnsi="Arial"/>
          <w:color w:val="1A1A1A"/>
          <w:sz w:val="20"/>
          <w:szCs w:val="20"/>
        </w:rPr>
        <w:t xml:space="preserve">After every incident, support scores how supportable the feature was. Score each dimension 1 (poor) to 5 (excellent). Aggregate scores feed back into the next design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920"/>
        <w:gridCol w:w="960"/>
        <w:gridCol w:w="960"/>
        <w:gridCol w:w="960"/>
        <w:gridCol w:w="960"/>
        <w:gridCol w:w="312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Incident Reference</w:t>
            </w:r>
          </w:p>
        </w:tc>
        <w:tc>
          <w:tcPr>
            <w:tcW w:type="dxa" w:w="9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Detectable? (1-5)</w:t>
            </w:r>
          </w:p>
        </w:tc>
        <w:tc>
          <w:tcPr>
            <w:tcW w:type="dxa" w:w="9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Diagnosable? (1-5)</w:t>
            </w:r>
          </w:p>
        </w:tc>
        <w:tc>
          <w:tcPr>
            <w:tcW w:type="dxa" w:w="9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Resolvable? (1-5)</w:t>
            </w:r>
          </w:p>
        </w:tc>
        <w:tc>
          <w:tcPr>
            <w:tcW w:type="dxa" w:w="9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Avg Score</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Key Finding / Action</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spacing w:after="60" w:before="180"/>
      </w:pPr>
      <w:r>
        <w:rPr>
          <w:rFonts w:ascii="Arial" w:cs="Arial" w:eastAsia="Arial" w:hAnsi="Arial"/>
          <w:b/>
          <w:bCs/>
          <w:color w:val="1A1A1A"/>
          <w:sz w:val="21"/>
          <w:szCs w:val="21"/>
        </w:rPr>
        <w:t xml:space="preserve">Scoring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2880"/>
        <w:gridCol w:w="2880"/>
      </w:tblGrid>
      <w:tr>
        <w:trPr>
          <w:tblHeader/>
        </w:trPr>
        <w:tc>
          <w:tcPr>
            <w:tcW w:type="dxa" w:w="7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Score</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Detectable</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Diagnosable</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Resolvable</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5</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Detected automatically before any customer impact</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Root cause found by support in &lt; 15 min</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Resolved by support with no engineering</w:t>
            </w:r>
          </w:p>
        </w:tc>
      </w:tr>
      <w:tr>
        <w:tc>
          <w:tcPr>
            <w:tcW w:type="dxa" w:w="7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4</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Detected within 5 min of customer impact</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Root cause found in &lt; 30 min</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Resolved with minor engineering input</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3</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Detected within 30 min</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Root cause found in &lt; 2 hours</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Required engineering escalation</w:t>
            </w:r>
          </w:p>
        </w:tc>
      </w:tr>
      <w:tr>
        <w:tc>
          <w:tcPr>
            <w:tcW w:type="dxa" w:w="7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2</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Detected via customer complaint</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Root cause took &gt; 2 hours</w:t>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Required senior engineering involvement</w:t>
            </w:r>
          </w:p>
        </w:tc>
      </w:tr>
      <w:tr>
        <w:tc>
          <w:tcPr>
            <w:tcW w:type="dxa" w:w="7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1</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Not detected — customer reported before support knew</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Root cause could not be identified</w:t>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Required a code change or hotfix</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6.3  Observability Gap Log</w:t>
      </w:r>
    </w:p>
    <w:p>
      <w:pPr>
        <w:spacing w:after="140" w:before="0"/>
      </w:pPr>
      <w:r>
        <w:rPr>
          <w:rFonts w:ascii="Arial" w:cs="Arial" w:eastAsia="Arial" w:hAnsi="Arial"/>
          <w:color w:val="1A1A1A"/>
          <w:sz w:val="20"/>
          <w:szCs w:val="20"/>
        </w:rPr>
        <w:t xml:space="preserve">A living record of every blind spot hit in production. Every entry is a backlog item. Review monthly, prioritize quarterly.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440"/>
        <w:gridCol w:w="2880"/>
        <w:gridCol w:w="1920"/>
        <w:gridCol w:w="1200"/>
        <w:gridCol w:w="144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Date Found</w:t>
            </w:r>
          </w:p>
        </w:tc>
        <w:tc>
          <w:tcPr>
            <w:tcW w:type="dxa" w:w="28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Gap Description</w:t>
            </w:r>
          </w:p>
        </w:tc>
        <w:tc>
          <w:tcPr>
            <w:tcW w:type="dxa" w:w="19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Impact / Cost of This Gap</w:t>
            </w:r>
          </w:p>
        </w:tc>
        <w:tc>
          <w:tcPr>
            <w:tcW w:type="dxa" w:w="12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Priority</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Backlog #</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8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9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6.4  Runbook Accuracy Tracking</w:t>
      </w:r>
    </w:p>
    <w:p>
      <w:pPr>
        <w:spacing w:after="140" w:before="0"/>
      </w:pPr>
      <w:r>
        <w:rPr>
          <w:rFonts w:ascii="Arial" w:cs="Arial" w:eastAsia="Arial" w:hAnsi="Arial"/>
          <w:color w:val="1A1A1A"/>
          <w:sz w:val="20"/>
          <w:szCs w:val="20"/>
        </w:rPr>
        <w:t xml:space="preserve">Every time a runbook is used in a real incident, record accuracy, version after update, and what changed. Runbooks are living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440"/>
        <w:gridCol w:w="2160"/>
        <w:gridCol w:w="1440"/>
        <w:gridCol w:w="1680"/>
        <w:gridCol w:w="216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Incident Ref</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Runbook Used</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Accurate?</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Version After Update</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Changes Made</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Yes/Partial/No</w:t>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6.5  Quarterly Supportability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Review Date</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Attendees</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Average Supportability Score (period)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Number of Observability Gaps logged</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Number of Gaps resolved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Number of Runbook updates made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Top recurring pattern identified</w:t>
            </w:r>
          </w:p>
        </w:tc>
        <w:tc>
          <w:tcPr>
            <w:tcW w:type="dxa" w:w="6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2400"/>
            <w:tcBorders>
              <w:top w:val="single" w:color="AAAAAA" w:sz="4"/>
              <w:left w:val="single" w:color="AAAAAA" w:sz="4"/>
              <w:bottom w:val="single" w:color="AAAAAA" w:sz="4"/>
              <w:right w:val="single" w:color="AAAAAA" w:sz="4"/>
            </w:tcBorders>
            <w:shd w:fill="D6E8F5" w:val="clear"/>
            <w:tcMar>
              <w:top w:type="dxa" w:w="60"/>
              <w:left w:type="dxa" w:w="120"/>
              <w:bottom w:type="dxa" w:w="60"/>
              <w:right w:type="dxa" w:w="120"/>
            </w:tcMar>
          </w:tcPr>
          <w:p>
            <w:r>
              <w:rPr>
                <w:rFonts w:ascii="Arial" w:cs="Arial" w:eastAsia="Arial" w:hAnsi="Arial"/>
                <w:b/>
                <w:bCs/>
                <w:color w:val="1A3E5C"/>
                <w:sz w:val="19"/>
                <w:szCs w:val="19"/>
              </w:rPr>
              <w:t xml:space="preserve">Top improvement target for next cycle</w:t>
            </w:r>
          </w:p>
        </w:tc>
        <w:tc>
          <w:tcPr>
            <w:tcW w:type="dxa" w:w="69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spacing w:after="60" w:before="180"/>
      </w:pPr>
      <w:r>
        <w:rPr>
          <w:rFonts w:ascii="Arial" w:cs="Arial" w:eastAsia="Arial" w:hAnsi="Arial"/>
          <w:b/>
          <w:bCs/>
          <w:color w:val="1A1A1A"/>
          <w:sz w:val="21"/>
          <w:szCs w:val="21"/>
        </w:rPr>
        <w:t xml:space="preserve">Incident Root Category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440"/>
        <w:gridCol w:w="1440"/>
        <w:gridCol w:w="3120"/>
      </w:tblGrid>
      <w:tr>
        <w:trPr>
          <w:tblHeader/>
        </w:trPr>
        <w:tc>
          <w:tcPr>
            <w:tcW w:type="dxa" w:w="33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Root Category</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 Incidents</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Avg Score</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Upstream Phase to Improve</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Logging / observability gap</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SIC / SAR</w:t>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Missing or inaccurate runbook</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STP</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Alert did not fire or fired too late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SIC / STP</w:t>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Failure mode not anticipated in SRD</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SRD</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Architecture blind spot</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SAR</w:t>
            </w:r>
          </w:p>
        </w:tc>
      </w:tr>
      <w:tr>
        <w:tc>
          <w:tcPr>
            <w:tcW w:type="dxa" w:w="33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Support not trained on new behaviour</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SRR</w:t>
            </w:r>
          </w:p>
        </w:tc>
      </w:tr>
      <w:tr>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Escalation path incorrect or slow</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1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SRD / SRR</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6.6  Shift Left Effectiveness Metric</w:t>
      </w:r>
    </w:p>
    <w:p>
      <w:pPr>
        <w:spacing w:after="140" w:before="0"/>
      </w:pPr>
      <w:r>
        <w:rPr>
          <w:rFonts w:ascii="Arial" w:cs="Arial" w:eastAsia="Arial" w:hAnsi="Arial"/>
          <w:color w:val="1A1A1A"/>
          <w:sz w:val="20"/>
          <w:szCs w:val="20"/>
        </w:rPr>
        <w:t xml:space="preserve">Tracks what percentage of production incidents could have been prevented or detected earlier. This is the number that proves the value of the framework to leadership.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1440"/>
        <w:gridCol w:w="3600"/>
      </w:tblGrid>
      <w:tr>
        <w:trPr>
          <w:tblHeader/>
        </w:trPr>
        <w:tc>
          <w:tcPr>
            <w:tcW w:type="dxa" w:w="43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Metric</w:t>
            </w:r>
          </w:p>
        </w:tc>
        <w:tc>
          <w:tcPr>
            <w:tcW w:type="dxa" w:w="14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Value</w:t>
            </w:r>
          </w:p>
        </w:tc>
        <w:tc>
          <w:tcPr>
            <w:tcW w:type="dxa" w:w="36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w:t>
            </w:r>
          </w:p>
        </w:tc>
      </w:tr>
      <w:tr>
        <w:tc>
          <w:tcPr>
            <w:tcW w:type="dxa" w:w="4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Total incidents this period</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Incidents traceable to an SRD gap</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Incidents traceable to an SAR gap</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Incidents traceable to an SIC gap</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Incidents traceable to an STP gap</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Incidents traceable to an SRR gap</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32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of incidents preventable by earlier upstream action</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Target: reduce 20% per quarter</w:t>
            </w:r>
          </w:p>
        </w:tc>
      </w:tr>
      <w:tr>
        <w:tc>
          <w:tcPr>
            <w:tcW w:type="dxa" w:w="432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Estimated cost of preventable incidents (eng hours + cust. impact)</w:t>
            </w:r>
          </w:p>
        </w:tc>
        <w:tc>
          <w:tcPr>
            <w:tcW w:type="dxa" w:w="14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6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w:t>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6.7  Backlog Items Generated This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840"/>
        <w:gridCol w:w="1680"/>
        <w:gridCol w:w="1200"/>
        <w:gridCol w:w="2160"/>
      </w:tblGrid>
      <w:tr>
        <w:trPr>
          <w:tblHeader/>
        </w:trPr>
        <w:tc>
          <w:tcPr>
            <w:tcW w:type="dxa" w:w="4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w:t>
            </w:r>
          </w:p>
        </w:tc>
        <w:tc>
          <w:tcPr>
            <w:tcW w:type="dxa" w:w="384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Backlog Item Description</w:t>
            </w:r>
          </w:p>
        </w:tc>
        <w:tc>
          <w:tcPr>
            <w:tcW w:type="dxa" w:w="168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Source</w:t>
            </w:r>
          </w:p>
        </w:tc>
        <w:tc>
          <w:tcPr>
            <w:tcW w:type="dxa" w:w="120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Priority</w:t>
            </w:r>
          </w:p>
        </w:tc>
        <w:tc>
          <w:tcPr>
            <w:tcW w:type="dxa" w:w="216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Assigned To / Target Sprint</w:t>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Arial" w:cs="Arial" w:eastAsia="Arial" w:hAnsi="Arial"/>
                <w:color w:val="1A1A1A"/>
                <w:sz w:val="19"/>
                <w:szCs w:val="19"/>
              </w:rPr>
              <w:t xml:space="preserve"/>
            </w:r>
          </w:p>
        </w:tc>
      </w:tr>
      <w:tr>
        <w:tc>
          <w:tcPr>
            <w:tcW w:type="dxa" w:w="4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384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c>
          <w:tcPr>
            <w:tcW w:type="dxa" w:w="168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Gap Log / Incident</w:t>
            </w:r>
          </w:p>
        </w:tc>
        <w:tc>
          <w:tcPr>
            <w:tcW w:type="dxa" w:w="120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H/M/L</w:t>
            </w:r>
          </w:p>
        </w:tc>
        <w:tc>
          <w:tcPr>
            <w:tcW w:type="dxa" w:w="2160"/>
            <w:tcBorders>
              <w:top w:val="single" w:color="CCCCCC" w:sz="4"/>
              <w:left w:val="single" w:color="CCCCCC" w:sz="4"/>
              <w:bottom w:val="single" w:color="CCCCCC" w:sz="4"/>
              <w:right w:val="single" w:color="CCCCCC" w:sz="4"/>
            </w:tcBorders>
            <w:shd w:fill="EAF2FB" w:val="clear"/>
            <w:tcMar>
              <w:top w:type="dxa" w:w="60"/>
              <w:left w:type="dxa" w:w="120"/>
              <w:bottom w:type="dxa" w:w="60"/>
              <w:right w:type="dxa" w:w="120"/>
            </w:tcMar>
          </w:tcPr>
          <w:p>
            <w:r>
              <w:rPr>
                <w:rFonts w:ascii="Arial" w:cs="Arial" w:eastAsia="Arial" w:hAnsi="Arial"/>
                <w:color w:val="1A1A1A"/>
                <w:sz w:val="19"/>
                <w:szCs w:val="19"/>
              </w:rPr>
              <w:t xml:space="preserve"/>
            </w:r>
          </w:p>
        </w:tc>
      </w:tr>
    </w:tbl>
    <w:p>
      <w:pPr>
        <w:spacing w:after="120" w:before="0"/>
      </w:pPr>
      <w:r>
        <w:rPr>
          <w:rFonts w:ascii="Arial" w:cs="Arial" w:eastAsia="Arial" w:hAnsi="Arial"/>
          <w:color w:val="1A1A1A"/>
          <w:sz w:val="20"/>
          <w:szCs w:val="20"/>
        </w:rPr>
        <w:t xml:space="preserve"/>
      </w:r>
    </w:p>
    <w:p>
      <w:pPr>
        <w:pStyle w:val="Heading2"/>
        <w:spacing w:after="80" w:before="260"/>
      </w:pPr>
      <w:r>
        <w:rPr>
          <w:rFonts w:ascii="Arial" w:cs="Arial" w:eastAsia="Arial" w:hAnsi="Arial"/>
          <w:b/>
          <w:bCs/>
          <w:color w:val="2E86C1"/>
          <w:sz w:val="22"/>
          <w:szCs w:val="22"/>
        </w:rPr>
        <w:t xml:space="preserve">6.8  Quarterly Sign-Off</w:t>
      </w:r>
    </w:p>
    <w:p>
      <w:pPr>
        <w:pBdr>
          <w:left w:val="single" w:color="2E86C1" w:sz="16" w:space="8"/>
        </w:pBdr>
        <w:spacing w:after="140" w:before="100"/>
        <w:ind w:left="360"/>
      </w:pPr>
      <w:r>
        <w:rPr>
          <w:rFonts w:ascii="Arial" w:cs="Arial" w:eastAsia="Arial" w:hAnsi="Arial"/>
          <w:i/>
          <w:iCs/>
          <w:color w:val="555555"/>
          <w:sz w:val="20"/>
          <w:szCs w:val="20"/>
        </w:rPr>
        <w:t xml:space="preserve">Sign-off confirms the quarterly review occurred, findings were documented, and backlog items were created for all High priority gaps.</w:t>
      </w:r>
    </w:p>
    <w:p>
      <w:pPr>
        <w:spacing w:after="80" w:before="0"/>
      </w:pPr>
      <w:r>
        <w:rPr>
          <w:rFonts w:ascii="Arial" w:cs="Arial" w:eastAsia="Arial" w:hAnsi="Arial"/>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Support Lead</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Engineering Lead</w:t>
            </w:r>
          </w:p>
        </w:tc>
        <w:tc>
          <w:tcPr>
            <w:tcW w:type="dxa" w:w="3120"/>
            <w:tcBorders>
              <w:top w:val="single" w:color="1A3E5C" w:sz="4"/>
              <w:left w:val="single" w:color="1A3E5C" w:sz="4"/>
              <w:bottom w:val="single" w:color="1A3E5C" w:sz="4"/>
              <w:right w:val="single" w:color="1A3E5C" w:sz="4"/>
            </w:tcBorders>
            <w:shd w:fill="1A3E5C" w:val="clear"/>
            <w:tcMar>
              <w:top w:type="dxa" w:w="100"/>
              <w:left w:type="dxa" w:w="160"/>
              <w:bottom w:type="dxa" w:w="100"/>
              <w:right w:type="dxa" w:w="160"/>
            </w:tcMar>
            <w:vAlign w:val="center"/>
          </w:tcPr>
          <w:p>
            <w:r>
              <w:rPr>
                <w:rFonts w:ascii="Arial" w:cs="Arial" w:eastAsia="Arial" w:hAnsi="Arial"/>
                <w:b/>
                <w:bCs/>
                <w:color w:val="FFFFFF"/>
                <w:sz w:val="19"/>
                <w:szCs w:val="19"/>
              </w:rPr>
              <w:t xml:space="preserve">Product Owner</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pPr>
              <w:spacing w:after="60" w:before="0"/>
            </w:pPr>
            <w:r>
              <w:rPr>
                <w:rFonts w:ascii="Arial" w:cs="Arial" w:eastAsia="Arial" w:hAnsi="Arial"/>
                <w:color w:val="1A1A1A"/>
                <w:sz w:val="18"/>
                <w:szCs w:val="18"/>
              </w:rPr>
              <w:t xml:space="preserve">Name:</w:t>
            </w:r>
          </w:p>
          <w:p>
            <w:pPr>
              <w:spacing w:after="60" w:before="80"/>
            </w:pPr>
            <w:r>
              <w:rPr>
                <w:rFonts w:ascii="Arial" w:cs="Arial" w:eastAsia="Arial" w:hAnsi="Arial"/>
                <w:color w:val="1A1A1A"/>
                <w:sz w:val="18"/>
                <w:szCs w:val="18"/>
              </w:rPr>
              <w:t xml:space="preserve">Signature:</w:t>
            </w:r>
          </w:p>
          <w:p>
            <w:pPr>
              <w:spacing w:after="0" w:before="80"/>
            </w:pPr>
            <w:r>
              <w:rPr>
                <w:rFonts w:ascii="Arial" w:cs="Arial" w:eastAsia="Arial" w:hAnsi="Arial"/>
                <w:color w:val="1A1A1A"/>
                <w:sz w:val="18"/>
                <w:szCs w:val="18"/>
              </w:rPr>
              <w:t xml:space="preserve">Date:</w:t>
            </w:r>
          </w:p>
        </w:tc>
      </w:tr>
    </w:tbl>
    <w:p>
      <w:pPr>
        <w:spacing w:after="240" w:before="0"/>
      </w:pPr>
      <w:r>
        <w:rPr>
          <w:rFonts w:ascii="Arial" w:cs="Arial" w:eastAsia="Arial" w:hAnsi="Arial"/>
          <w:color w:val="1A1A1A"/>
          <w:sz w:val="20"/>
          <w:szCs w:val="20"/>
        </w:rPr>
        <w:t xml:space="preserve"/>
      </w:r>
    </w:p>
    <w:p>
      <w:pPr>
        <w:pBdr>
          <w:top w:val="single" w:color="2E86C1" w:sz="6" w:space="4"/>
          <w:bottom w:val="single" w:color="2E86C1" w:sz="6" w:space="4"/>
        </w:pBdr>
        <w:spacing w:after="80" w:before="200"/>
        <w:jc w:val="center"/>
      </w:pPr>
      <w:r>
        <w:rPr>
          <w:rFonts w:ascii="Arial" w:cs="Arial" w:eastAsia="Arial" w:hAnsi="Arial"/>
          <w:b/>
          <w:bCs/>
          <w:color w:val="2E86C1"/>
          <w:sz w:val="21"/>
          <w:szCs w:val="21"/>
        </w:rPr>
        <w:t xml:space="preserve">SRD  →  SAR  →  SIC  →  STP  →  SRR  →  SFL  →  SRD (next cycle)</w:t>
      </w:r>
    </w:p>
    <w:p>
      <w:pPr>
        <w:spacing w:after="0" w:before="80"/>
        <w:jc w:val="center"/>
      </w:pPr>
      <w:r>
        <w:rPr>
          <w:rFonts w:ascii="Arial" w:cs="Arial" w:eastAsia="Arial" w:hAnsi="Arial"/>
          <w:i/>
          <w:iCs/>
          <w:color w:val="555555"/>
          <w:sz w:val="19"/>
          <w:szCs w:val="19"/>
        </w:rPr>
        <w:t xml:space="preserve">Every gap caught at requirements costs minutes to fix. The same gap caught in production costs months.</w:t>
      </w:r>
    </w:p>
    <w:sectPr>
      <w:headerReference w:type="default" r:id="rId17"/>
      <w:footerReference w:type="default" r:id="rId18"/>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2"/>
      </w:pBdr>
      <w:tabs>
        <w:tab w:val="right" w:pos="9026"/>
      </w:tabs>
      <w:spacing w:after="0" w:before="100"/>
    </w:pPr>
    <w:r>
      <w:rPr>
        <w:rFonts w:ascii="Arial" w:cs="Arial" w:eastAsia="Arial" w:hAnsi="Arial"/>
        <w:color w:val="555555"/>
        <w:sz w:val="17"/>
        <w:szCs w:val="17"/>
      </w:rPr>
      <w:t xml:space="preserve">John A. Bowman  |  Supportability Engineering  |  Confidential</w:t>
    </w:r>
    <w:r>
      <w:rPr>
        <w:rFonts w:ascii="Arial" w:cs="Arial" w:eastAsia="Arial" w:hAnsi="Arial"/>
        <w:color w:val="1A1A1A"/>
        <w:sz w:val="17"/>
        <w:szCs w:val="17"/>
      </w:rPr>
      <w:t xml:space="preserve">	</w:t>
    </w:r>
    <w:r>
      <w:rPr>
        <w:rFonts w:ascii="Arial" w:cs="Arial" w:eastAsia="Arial" w:hAnsi="Arial"/>
        <w:color w:val="555555"/>
        <w:sz w:val="17"/>
        <w:szCs w:val="17"/>
      </w:rPr>
      <w:t xml:space="preserve">Page </w:t>
    </w:r>
    <w:r>
      <w:rPr>
        <w:rFonts w:ascii="Arial" w:cs="Arial" w:eastAsia="Arial" w:hAnsi="Arial"/>
        <w:color w:val="555555"/>
        <w:sz w:val="17"/>
        <w:szCs w:val="17"/>
      </w:rPr>
      <w:fldChar w:fldCharType="begin"/>
      <w:instrText xml:space="preserve">PAGE</w:instrText>
      <w:fldChar w:fldCharType="separate"/>
      <w:fldChar w:fldCharType="end"/>
    </w:r>
    <w:r>
      <w:rPr>
        <w:rFonts w:ascii="Arial" w:cs="Arial" w:eastAsia="Arial" w:hAnsi="Arial"/>
        <w:color w:val="555555"/>
        <w:sz w:val="17"/>
        <w:szCs w:val="17"/>
      </w:rPr>
      <w:t xml:space="preserve"> of </w:t>
    </w:r>
    <w:r>
      <w:rPr>
        <w:rFonts w:ascii="Arial" w:cs="Arial" w:eastAsia="Arial" w:hAnsi="Arial"/>
        <w:color w:val="555555"/>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Supportability Requirements Document (SRD)</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1 — Requirements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Supportability Architecture Review (SAR)</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2 — Design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Supportability Implementation Checklist (SIC)</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3 — Build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Supportability Test Plan (STP)</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4 — Test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 Readiness Review (SRR)</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5 — Release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2"/>
      </w:pBdr>
      <w:tabs>
        <w:tab w:val="right" w:pos="9026"/>
      </w:tabs>
      <w:spacing w:after="120" w:before="0"/>
    </w:pPr>
    <w:r>
      <w:rPr>
        <w:rFonts w:ascii="Arial" w:cs="Arial" w:eastAsia="Arial" w:hAnsi="Arial"/>
        <w:b/>
        <w:bCs/>
        <w:color w:val="1A3E5C"/>
        <w:sz w:val="18"/>
        <w:szCs w:val="18"/>
      </w:rPr>
      <w:t xml:space="preserve">Supportability Engineering  |  </w:t>
    </w:r>
    <w:r>
      <w:rPr>
        <w:rFonts w:ascii="Arial" w:cs="Arial" w:eastAsia="Arial" w:hAnsi="Arial"/>
        <w:color w:val="2E86C1"/>
        <w:sz w:val="18"/>
        <w:szCs w:val="18"/>
      </w:rPr>
      <w:t xml:space="preserve">Supportability Feedback Loop (SFL)</w:t>
    </w:r>
    <w:r>
      <w:rPr>
        <w:rFonts w:ascii="Arial" w:cs="Arial" w:eastAsia="Arial" w:hAnsi="Arial"/>
        <w:color w:val="1A1A1A"/>
        <w:sz w:val="18"/>
        <w:szCs w:val="18"/>
      </w:rPr>
      <w:t xml:space="preserve">	</w:t>
    </w:r>
    <w:r>
      <w:rPr>
        <w:rFonts w:ascii="Arial" w:cs="Arial" w:eastAsia="Arial" w:hAnsi="Arial"/>
        <w:i/>
        <w:iCs/>
        <w:color w:val="555555"/>
        <w:sz w:val="18"/>
        <w:szCs w:val="18"/>
      </w:rPr>
      <w:t xml:space="preserve">Phase 6 — Operate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olor w:val="1A3E5C"/>
      <w:sz w:val="26"/>
      <w:szCs w:val="26"/>
    </w:rPr>
  </w:style>
  <w:style w:type="paragraph" w:styleId="Heading2">
    <w:name w:val="Heading 2"/>
    <w:basedOn w:val="Normal"/>
    <w:next w:val="Normal"/>
    <w:qFormat/>
    <w:pPr>
      <w:spacing w:after="80" w:before="260"/>
      <w:outlineLvl w:val="1"/>
    </w:pPr>
    <w:rPr>
      <w:rFonts w:ascii="Arial" w:cs="Arial" w:eastAsia="Arial" w:hAnsi="Arial"/>
      <w:b/>
      <w:bCs/>
      <w:color w:val="2E86C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2026-04-12T15:14:39.094Z</dcterms:created>
  <dcterms:modified xsi:type="dcterms:W3CDTF">2026-04-12T15:14:39.096Z</dcterms:modified>
</cp:coreProperties>
</file>

<file path=docProps/custom.xml><?xml version="1.0" encoding="utf-8"?>
<Properties xmlns="http://schemas.openxmlformats.org/officeDocument/2006/custom-properties" xmlns:vt="http://schemas.openxmlformats.org/officeDocument/2006/docPropsVTypes"/>
</file>