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340" w:val="clear"/>
        <w:spacing w:after="0" w:before="0"/>
      </w:pPr>
      <w:r>
        <w:rPr>
          <w:sz w:val="48"/>
          <w:szCs w:val="48"/>
        </w:rPr>
        <w:t xml:space="preserve"/>
      </w:r>
    </w:p>
    <w:p>
      <w:pPr>
        <w:shd w:fill="0F2340" w:val="clear"/>
        <w:spacing w:after="40" w:before="200"/>
        <w:jc w:val="center"/>
      </w:pPr>
      <w:r>
        <w:rPr>
          <w:rFonts w:ascii="Arial" w:cs="Arial" w:eastAsia="Arial" w:hAnsi="Arial"/>
          <w:b/>
          <w:bCs/>
          <w:color w:val="C9993A"/>
          <w:sz w:val="28"/>
          <w:szCs w:val="28"/>
        </w:rPr>
        <w:t xml:space="preserve">SUPPORTABILITY ENGINEERING</w:t>
      </w:r>
    </w:p>
    <w:p>
      <w:pPr>
        <w:shd w:fill="0F2340" w:val="clear"/>
        <w:spacing w:after="40" w:before="40"/>
        <w:jc w:val="center"/>
      </w:pPr>
      <w:r>
        <w:rPr>
          <w:rFonts w:ascii="Arial" w:cs="Arial" w:eastAsia="Arial" w:hAnsi="Arial"/>
          <w:color w:val="FFFFFF"/>
          <w:sz w:val="22"/>
          <w:szCs w:val="22"/>
        </w:rPr>
        <w:t xml:space="preserve">Compliance Baseline Standards Kit</w:t>
      </w:r>
    </w:p>
    <w:p>
      <w:pPr>
        <w:shd w:fill="0F2340" w:val="clear"/>
        <w:spacing w:after="40" w:before="40"/>
        <w:jc w:val="center"/>
      </w:pPr>
      <w:r>
        <w:rPr>
          <w:rFonts w:ascii="Arial" w:cs="Arial" w:eastAsia="Arial" w:hAnsi="Arial"/>
          <w:b/>
          <w:bCs/>
          <w:color w:val="FFFFFF"/>
          <w:sz w:val="32"/>
          <w:szCs w:val="32"/>
        </w:rPr>
        <w:t xml:space="preserve">Doc 1  —  Compliance Context Document</w:t>
      </w:r>
    </w:p>
    <w:p>
      <w:pPr>
        <w:shd w:fill="0F2340" w:val="clear"/>
        <w:spacing w:after="200" w:before="40"/>
        <w:jc w:val="center"/>
      </w:pPr>
      <w:r>
        <w:rPr>
          <w:rFonts w:ascii="Arial" w:cs="Arial" w:eastAsia="Arial" w:hAnsi="Arial"/>
          <w:color w:val="AAAAAA"/>
          <w:sz w:val="20"/>
          <w:szCs w:val="20"/>
        </w:rPr>
        <w:t xml:space="preserve">Scope profiles, control mappings, org overrides, and agent injection</w:t>
      </w:r>
    </w:p>
    <w:p>
      <w:pPr>
        <w:shd w:fill="0F766E" w:val="clear"/>
        <w:spacing w:after="0" w:before="0"/>
      </w:pPr>
      <w:r>
        <w:rPr>
          <w:sz w:val="16"/>
          <w:szCs w:val="16"/>
        </w:rP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Framework Author</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John A. Bowman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Version</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May 2026</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Classification</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Confidential — Consulting IP</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Contact</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dooohhead@gmail.com  |  902-489-2429</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Org Name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Completed By</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Date Completed</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1.  Purpose and Scope</w:t>
      </w:r>
    </w:p>
    <w:p>
      <w:pPr>
        <w:spacing w:after="60" w:before="60"/>
      </w:pPr>
      <w:r>
        <w:rPr>
          <w:rFonts w:ascii="Arial" w:cs="Arial" w:eastAsia="Arial" w:hAnsi="Arial"/>
          <w:sz w:val="22"/>
          <w:szCs w:val="22"/>
        </w:rPr>
        <w:t xml:space="preserve">This document is the compliance anchor for Supportability Engineering Volume 5. It defines which compliance frameworks apply to your organization, maps those frameworks to the SE phase deliverables, and provides the pre-populated standards your teams reference throughout the development lifecycle.</w:t>
      </w:r>
    </w:p>
    <w:p>
      <w:pPr>
        <w:spacing w:after="60" w:before="60"/>
      </w:pPr>
      <w:r>
        <w:rPr>
          <w:rFonts w:ascii="Arial" w:cs="Arial" w:eastAsia="Arial" w:hAnsi="Arial"/>
          <w:sz w:val="22"/>
          <w:szCs w:val="22"/>
        </w:rPr>
        <w:t xml:space="preserve">Every C- template deliverable (C-SRD, C-SAR, C-SIC, C-STP, C-SRR, C-SFL) references this document. It does not replace the base SE deliverables — it extends them. Section 7 is the only section requiring org-specific input. Section 8 is the ready-to-paste agent injection block for agentic development workflows.</w:t>
      </w:r>
    </w:p>
    <w:p>
      <w:pPr>
        <w:pBdr>
          <w:left w:val="single" w:color="0F766E" w:sz="12" w:space="4"/>
        </w:pBdr>
        <w:shd w:fill="F0F9F8" w:val="clear"/>
        <w:spacing w:after="120" w:before="120"/>
        <w:ind w:left="360"/>
      </w:pPr>
      <w:r>
        <w:rPr>
          <w:rFonts w:ascii="Arial" w:cs="Arial" w:eastAsia="Arial" w:hAnsi="Arial"/>
          <w:color w:val="1B3A5C"/>
          <w:sz w:val="20"/>
          <w:szCs w:val="20"/>
        </w:rPr>
        <w:t xml:space="preserve">Compliance by design means the same thing as supportability by design: the cost of retrofitting grows exponentially the later the gap is found. A missing audit trail discovered at architecture review costs hours. The same gap discovered during a SOC 2 audit costs weeks.</w:t>
      </w:r>
    </w:p>
    <w:p>
      <w:pPr>
        <w:spacing w:after="0" w:before="0"/>
      </w:pPr>
      <w:r>
        <w:t xml:space="preserve"/>
      </w:r>
    </w:p>
    <w:p>
      <w:pPr>
        <w:pStyle w:val="Heading1"/>
      </w:pPr>
      <w:r>
        <w:rPr>
          <w:rFonts w:ascii="Arial" w:cs="Arial" w:eastAsia="Arial" w:hAnsi="Arial"/>
          <w:b/>
          <w:bCs/>
          <w:color w:val="0F2340"/>
          <w:sz w:val="26"/>
          <w:szCs w:val="26"/>
        </w:rPr>
        <w:t xml:space="preserve">2.  Compliance Scope Profile</w:t>
      </w:r>
    </w:p>
    <w:p>
      <w:pPr>
        <w:spacing w:after="60" w:before="60"/>
      </w:pPr>
      <w:r>
        <w:rPr>
          <w:rFonts w:ascii="Arial" w:cs="Arial" w:eastAsia="Arial" w:hAnsi="Arial"/>
          <w:sz w:val="22"/>
          <w:szCs w:val="22"/>
        </w:rPr>
        <w:t xml:space="preserve">Select the profile that matches your organization's regulatory obligations. The profile determines which C- template extensions apply to each feature. Profile selection is confirmed at C-SRD and reviewed at C-SRR.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Profile</w:t>
            </w:r>
          </w:p>
        </w:tc>
        <w:tc>
          <w:tcPr>
            <w:tcW w:type="dxa" w:w="280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Condition</w:t>
            </w:r>
          </w:p>
        </w:tc>
        <w:tc>
          <w:tcPr>
            <w:tcW w:type="dxa" w:w="57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 Extensions Required</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0</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regulated data</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Base SE only — no C- extensions required</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Personal data (GDPR / CCPA)</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C-SRD · C-SIC · C-SRR (+ C-STP if breach notification applies)</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Financial reporting (SOX)</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C-SRD · C-SRR (three-signature)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SOC 2 / ISO 27001 audit scope</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C-SRD · C-STP · C-SRR</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4</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Full regulated stack</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C-SRD · C-SAR · C-SIC · C-STP · C-SRR · C-SFL</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5</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FedRAMP boundary</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Full C- stack + evidence package + regulatory notification log</w:t>
            </w:r>
          </w:p>
        </w:tc>
      </w:tr>
    </w:tbl>
    <w:p>
      <w:pPr>
        <w:spacing w:after="0" w:before="0"/>
      </w:pPr>
      <w:r>
        <w:t xml:space="preserve"/>
      </w:r>
    </w:p>
    <w:p>
      <w:pPr>
        <w:pStyle w:val="Heading2"/>
      </w:pPr>
      <w:r>
        <w:rPr>
          <w:rFonts w:ascii="Arial" w:cs="Arial" w:eastAsia="Arial" w:hAnsi="Arial"/>
          <w:b/>
          <w:bCs/>
          <w:color w:val="0F766E"/>
          <w:sz w:val="23"/>
          <w:szCs w:val="23"/>
        </w:rPr>
        <w:t xml:space="preserve">2.1  Organization Profile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Selected Profile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Applicable Frameworks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SOC 2  /  ISO 27001  /  GDPR  /  CCPA  /  SOX  /  FedRAMP  (circle all that apply)</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Confirmed By</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3.  Framework Control Mappings</w:t>
      </w:r>
    </w:p>
    <w:p>
      <w:pPr>
        <w:spacing w:after="60" w:before="60"/>
      </w:pPr>
      <w:r>
        <w:rPr>
          <w:rFonts w:ascii="Arial" w:cs="Arial" w:eastAsia="Arial" w:hAnsi="Arial"/>
          <w:sz w:val="22"/>
          <w:szCs w:val="22"/>
        </w:rPr>
        <w:t xml:space="preserve">These mappings are pre-populated. They define which regulatory controls each SE phase satisfies. Use these at C-SRD to confirm which controls apply to each feature, and at C-SRR to confirm evidence of compliance.</w:t>
      </w:r>
    </w:p>
    <w:p>
      <w:pPr>
        <w:spacing w:after="0" w:before="0"/>
      </w:pPr>
      <w:r>
        <w:t xml:space="preserve"/>
      </w:r>
    </w:p>
    <w:p>
      <w:pPr>
        <w:pStyle w:val="Heading2"/>
      </w:pPr>
      <w:r>
        <w:rPr>
          <w:rFonts w:ascii="Arial" w:cs="Arial" w:eastAsia="Arial" w:hAnsi="Arial"/>
          <w:b/>
          <w:bCs/>
          <w:color w:val="0F766E"/>
          <w:sz w:val="23"/>
          <w:szCs w:val="23"/>
        </w:rPr>
        <w:t xml:space="preserve">3.1  SOC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Control</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w:t>
            </w:r>
          </w:p>
        </w:tc>
        <w:tc>
          <w:tcPr>
            <w:tcW w:type="dxa" w:w="5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CC7.2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SIC / STP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Anomaly and incident detection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CC7.3</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Incident response and recovery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CC8.1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SAR / SIC</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Change management controls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A1.2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STP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Availability — capacity and performance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C1.1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SIC</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Confidentiality — data classification</w:t>
            </w:r>
          </w:p>
        </w:tc>
      </w:tr>
    </w:tbl>
    <w:p>
      <w:pPr>
        <w:spacing w:after="0" w:before="0"/>
      </w:pPr>
      <w:r>
        <w:t xml:space="preserve"/>
      </w:r>
    </w:p>
    <w:p>
      <w:pPr>
        <w:pStyle w:val="Heading2"/>
      </w:pPr>
      <w:r>
        <w:rPr>
          <w:rFonts w:ascii="Arial" w:cs="Arial" w:eastAsia="Arial" w:hAnsi="Arial"/>
          <w:b/>
          <w:bCs/>
          <w:color w:val="0F766E"/>
          <w:sz w:val="23"/>
          <w:szCs w:val="23"/>
        </w:rPr>
        <w:t xml:space="preserve">3.2  ISO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Control</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w:t>
            </w:r>
          </w:p>
        </w:tc>
        <w:tc>
          <w:tcPr>
            <w:tcW w:type="dxa" w:w="5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A.12.4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SIC</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Logging and monitoring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A.16.1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Incident management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A.14.2.8</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STP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System security testing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A.15.1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SAR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Supplier relationships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A.18.1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Legal and regulatory compliance</w:t>
            </w:r>
          </w:p>
        </w:tc>
      </w:tr>
    </w:tbl>
    <w:p>
      <w:pPr>
        <w:spacing w:after="0" w:before="0"/>
      </w:pPr>
      <w:r>
        <w:t xml:space="preserve"/>
      </w:r>
    </w:p>
    <w:p>
      <w:pPr>
        <w:pStyle w:val="Heading2"/>
      </w:pPr>
      <w:r>
        <w:rPr>
          <w:rFonts w:ascii="Arial" w:cs="Arial" w:eastAsia="Arial" w:hAnsi="Arial"/>
          <w:b/>
          <w:bCs/>
          <w:color w:val="0F766E"/>
          <w:sz w:val="23"/>
          <w:szCs w:val="23"/>
        </w:rPr>
        <w:t xml:space="preserve">3.3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Article</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w:t>
            </w:r>
          </w:p>
        </w:tc>
        <w:tc>
          <w:tcPr>
            <w:tcW w:type="dxa" w:w="5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Art. 25</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SAR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Privacy by design and by default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Art. 32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SIC / STP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Security of processing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Art. 33</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72-hour breach notification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Art. 35</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SAR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protection impact assessment (DPIA)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Art. 5(2)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SFL</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Accountability — ongoing demonstration</w:t>
            </w:r>
          </w:p>
        </w:tc>
      </w:tr>
    </w:tbl>
    <w:p>
      <w:pPr>
        <w:spacing w:after="0" w:before="0"/>
      </w:pPr>
      <w:r>
        <w:t xml:space="preserve"/>
      </w:r>
    </w:p>
    <w:p>
      <w:pPr>
        <w:pStyle w:val="Heading2"/>
      </w:pPr>
      <w:r>
        <w:rPr>
          <w:rFonts w:ascii="Arial" w:cs="Arial" w:eastAsia="Arial" w:hAnsi="Arial"/>
          <w:b/>
          <w:bCs/>
          <w:color w:val="0F766E"/>
          <w:sz w:val="23"/>
          <w:szCs w:val="23"/>
        </w:rPr>
        <w:t xml:space="preserve">3.4  SOX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Control Area</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w:t>
            </w:r>
          </w:p>
        </w:tc>
        <w:tc>
          <w:tcPr>
            <w:tcW w:type="dxa" w:w="5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ITGC — Change Mgmt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SIC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IT general controls — change management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ITGC — Access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 SAR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Access controls and segregation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ITGC — Operations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STP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Operational controls and monitoring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Sec. 302 Certification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Management certification of controls</w:t>
            </w:r>
          </w:p>
        </w:tc>
      </w:tr>
    </w:tbl>
    <w:p>
      <w:pPr>
        <w:spacing w:after="0" w:before="0"/>
      </w:pPr>
      <w:r>
        <w:t xml:space="preserve"/>
      </w:r>
    </w:p>
    <w:p>
      <w:pPr>
        <w:pStyle w:val="Heading2"/>
      </w:pPr>
      <w:r>
        <w:rPr>
          <w:rFonts w:ascii="Arial" w:cs="Arial" w:eastAsia="Arial" w:hAnsi="Arial"/>
          <w:b/>
          <w:bCs/>
          <w:color w:val="0F766E"/>
          <w:sz w:val="23"/>
          <w:szCs w:val="23"/>
        </w:rPr>
        <w:t xml:space="preserve">3.5  FedRAMP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Control</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w:t>
            </w:r>
          </w:p>
        </w:tc>
        <w:tc>
          <w:tcPr>
            <w:tcW w:type="dxa" w:w="5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AU-2 / AU-12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SIC</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Audit event logging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IR-3 / IR-4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STP / SRR</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Incident testing and handling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CM-3 / CM-4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SAR / SIC</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Configuration and change control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CA-7</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SFL</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Continuous monitoring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SA-11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STP</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Developer security testing</w:t>
            </w:r>
          </w:p>
        </w:tc>
      </w:tr>
    </w:tbl>
    <w:p>
      <w:pPr>
        <w:spacing w:after="0" w:before="0"/>
      </w:pPr>
      <w:r>
        <w:t xml:space="preserve"/>
      </w:r>
    </w:p>
    <w:p>
      <w:pPr>
        <w:pStyle w:val="Heading1"/>
      </w:pPr>
      <w:r>
        <w:rPr>
          <w:rFonts w:ascii="Arial" w:cs="Arial" w:eastAsia="Arial" w:hAnsi="Arial"/>
          <w:b/>
          <w:bCs/>
          <w:color w:val="0F2340"/>
          <w:sz w:val="26"/>
          <w:szCs w:val="26"/>
        </w:rPr>
        <w:t xml:space="preserve">4.  C- Template Extension Map</w:t>
      </w:r>
    </w:p>
    <w:p>
      <w:pPr>
        <w:spacing w:after="60" w:before="60"/>
      </w:pPr>
      <w:r>
        <w:rPr>
          <w:rFonts w:ascii="Arial" w:cs="Arial" w:eastAsia="Arial" w:hAnsi="Arial"/>
          <w:sz w:val="22"/>
          <w:szCs w:val="22"/>
        </w:rPr>
        <w:t xml:space="preserve">This table confirms which C- template addenda are required at each phase for each compliance profile. Use this as a checklist at the start of each development cycle.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60"/>
        <w:gridCol w:w="1260"/>
        <w:gridCol w:w="1260"/>
        <w:gridCol w:w="1260"/>
        <w:gridCol w:w="1260"/>
        <w:gridCol w:w="1260"/>
      </w:tblGrid>
      <w:tr>
        <w:tc>
          <w:tcPr>
            <w:tcW w:type="dxa" w:w="150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Profile</w:t>
            </w:r>
          </w:p>
        </w:tc>
        <w:tc>
          <w:tcPr>
            <w:tcW w:type="dxa" w:w="12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C-SRD</w:t>
            </w:r>
          </w:p>
        </w:tc>
        <w:tc>
          <w:tcPr>
            <w:tcW w:type="dxa" w:w="12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C-SAR</w:t>
            </w:r>
          </w:p>
        </w:tc>
        <w:tc>
          <w:tcPr>
            <w:tcW w:type="dxa" w:w="12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C-SIC</w:t>
            </w:r>
          </w:p>
        </w:tc>
        <w:tc>
          <w:tcPr>
            <w:tcW w:type="dxa" w:w="12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C-STP</w:t>
            </w:r>
          </w:p>
        </w:tc>
        <w:tc>
          <w:tcPr>
            <w:tcW w:type="dxa" w:w="12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C-SRR</w:t>
            </w:r>
          </w:p>
        </w:tc>
        <w:tc>
          <w:tcPr>
            <w:tcW w:type="dxa" w:w="1260"/>
            <w:gridSpan w:val="1"/>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C-SFL</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0 — No regulated data</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 GDPR / CCPA</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if req</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 SOX</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 SOC 2 / ISO 27001</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4 — Full regulated stack</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5 — FedRAMP</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1260"/>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r>
    </w:tbl>
    <w:p>
      <w:pPr>
        <w:spacing w:after="0" w:before="0"/>
      </w:pPr>
      <w:r>
        <w:t xml:space="preserve"/>
      </w:r>
    </w:p>
    <w:p>
      <w:pPr>
        <w:pStyle w:val="Heading1"/>
      </w:pPr>
      <w:r>
        <w:rPr>
          <w:rFonts w:ascii="Arial" w:cs="Arial" w:eastAsia="Arial" w:hAnsi="Arial"/>
          <w:b/>
          <w:bCs/>
          <w:color w:val="0F2340"/>
          <w:sz w:val="26"/>
          <w:szCs w:val="26"/>
        </w:rPr>
        <w:t xml:space="preserve">5.  Data Classification Standards</w:t>
      </w:r>
    </w:p>
    <w:p>
      <w:pPr>
        <w:spacing w:after="60" w:before="60"/>
      </w:pPr>
      <w:r>
        <w:rPr>
          <w:rFonts w:ascii="Arial" w:cs="Arial" w:eastAsia="Arial" w:hAnsi="Arial"/>
          <w:sz w:val="22"/>
          <w:szCs w:val="22"/>
        </w:rPr>
        <w:t xml:space="preserve">Use this classification scheme consistently across all C- deliverables. Every SRD must identify the highest classification level of data the feature touches.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Level</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Type</w:t>
            </w:r>
          </w:p>
        </w:tc>
        <w:tc>
          <w:tcPr>
            <w:tcW w:type="dxa" w:w="5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Examples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DC-1  Public</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No restriction</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Marketing content, public documentation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DC-2  Internal</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Internal use only</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Internal procedures, non-sensitive operational data</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DC-3  Confidential</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Business sensitive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Customer data, financial records, contracts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DC-4  Regulated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Legally protected</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PII, PHI, financial reporting data, government data</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DC-5  Restricted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Highest protection</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Cryptographic keys, credentials, FedRAMP CUI</w:t>
            </w:r>
          </w:p>
        </w:tc>
      </w:tr>
    </w:tbl>
    <w:p>
      <w:pPr>
        <w:spacing w:after="0" w:before="0"/>
      </w:pPr>
      <w:r>
        <w:t xml:space="preserve"/>
      </w:r>
    </w:p>
    <w:p>
      <w:pPr>
        <w:pStyle w:val="Heading1"/>
      </w:pPr>
      <w:r>
        <w:rPr>
          <w:rFonts w:ascii="Arial" w:cs="Arial" w:eastAsia="Arial" w:hAnsi="Arial"/>
          <w:b/>
          <w:bCs/>
          <w:color w:val="0F2340"/>
          <w:sz w:val="26"/>
          <w:szCs w:val="26"/>
        </w:rPr>
        <w:t xml:space="preserve">6.  Breach and Incident Notification Thresholds</w:t>
      </w:r>
    </w:p>
    <w:p>
      <w:pPr>
        <w:spacing w:after="60" w:before="60"/>
      </w:pPr>
      <w:r>
        <w:rPr>
          <w:rFonts w:ascii="Arial" w:cs="Arial" w:eastAsia="Arial" w:hAnsi="Arial"/>
          <w:sz w:val="22"/>
          <w:szCs w:val="22"/>
        </w:rPr>
        <w:t xml:space="preserve">These thresholds are pre-populated based on regulatory requirements. Confirm applicability for your organization at C-SRD. Actual notification timelines must be validated with legal counsel.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Framework</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Notification Target</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Timeline</w:t>
            </w:r>
          </w:p>
        </w:tc>
        <w:tc>
          <w:tcPr>
            <w:tcW w:type="dxa" w:w="3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 Responsible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GDPR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Supervisory authority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72 hours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(define trigger) · SRR (confirm readiness)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GDPR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Data subjects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Without undue delay</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(template) · SRR (approve template)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CCPA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Affected consumers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Expedient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(define trigger) · SRR (confirm readiness)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HIPAA</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HHS / individuals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60 days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SRD (define trigger) · SRR (confirm readiness)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FedRAMP</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ISSO / AO / US-CERT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hour (High)</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SRR (confirm chain) · SFL (log all events)</w:t>
            </w:r>
          </w:p>
        </w:tc>
      </w:tr>
    </w:tbl>
    <w:p>
      <w:pPr>
        <w:spacing w:after="0" w:before="0"/>
      </w:pPr>
      <w:r>
        <w:t xml:space="preserve"/>
      </w:r>
    </w:p>
    <w:p>
      <w:pPr>
        <w:pStyle w:val="Heading1"/>
      </w:pPr>
      <w:r>
        <w:rPr>
          <w:rFonts w:ascii="Arial" w:cs="Arial" w:eastAsia="Arial" w:hAnsi="Arial"/>
          <w:b/>
          <w:bCs/>
          <w:color w:val="0F2340"/>
          <w:sz w:val="26"/>
          <w:szCs w:val="26"/>
        </w:rPr>
        <w:t xml:space="preserve">7.  Organization-Specific Overrides</w:t>
      </w:r>
    </w:p>
    <w:p>
      <w:pPr>
        <w:pBdr>
          <w:left w:val="single" w:color="0F766E" w:sz="12" w:space="4"/>
        </w:pBdr>
        <w:shd w:fill="F0F9F8" w:val="clear"/>
        <w:spacing w:after="120" w:before="120"/>
        <w:ind w:left="360"/>
      </w:pPr>
      <w:r>
        <w:rPr>
          <w:rFonts w:ascii="Arial" w:cs="Arial" w:eastAsia="Arial" w:hAnsi="Arial"/>
          <w:color w:val="1B3A5C"/>
          <w:sz w:val="20"/>
          <w:szCs w:val="20"/>
        </w:rPr>
        <w:t xml:space="preserve">This is the only section requiring org-specific input. All other sections are pre-populated standards. Complete this section once and reference it from all C- deliverables.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Organization Name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Primary Compliance Contact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Legal / DPO Contact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Security Contact</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Audit Cycle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Annual  /  Continuous  /  Other: ______</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Retention Policy (logs)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Retention Policy (audit evidence)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Additional Frameworks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Org-Specific Overrides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List any control mappings, thresholds, or requirements that differ from the pre-populated standards in this document.</w:t>
            </w:r>
          </w:p>
        </w:tc>
      </w:tr>
    </w:tbl>
    <w:p>
      <w:pPr>
        <w:spacing w:after="0" w:before="0"/>
      </w:pPr>
      <w:r>
        <w:t xml:space="preserve"/>
      </w:r>
    </w:p>
    <w:p>
      <w:pPr>
        <w:pStyle w:val="Heading1"/>
      </w:pPr>
      <w:r>
        <w:rPr>
          <w:rFonts w:ascii="Arial" w:cs="Arial" w:eastAsia="Arial" w:hAnsi="Arial"/>
          <w:b/>
          <w:bCs/>
          <w:color w:val="0F2340"/>
          <w:sz w:val="26"/>
          <w:szCs w:val="26"/>
        </w:rPr>
        <w:t xml:space="preserve">8.  Agent Injection Block</w:t>
      </w:r>
    </w:p>
    <w:p>
      <w:pPr>
        <w:spacing w:after="60" w:before="60"/>
      </w:pPr>
      <w:r>
        <w:rPr>
          <w:rFonts w:ascii="Arial" w:cs="Arial" w:eastAsia="Arial" w:hAnsi="Arial"/>
          <w:sz w:val="22"/>
          <w:szCs w:val="22"/>
        </w:rPr>
        <w:t xml:space="preserve">Paste this block into the system prompt of any agentic development tool (Claude Code, Cursor, Copilot) to enforce compliance-aware supportability standards on all generated code.</w:t>
      </w:r>
    </w:p>
    <w:p>
      <w:pPr>
        <w:pBdr>
          <w:left w:val="single" w:color="0F766E" w:sz="12" w:space="4"/>
        </w:pBdr>
        <w:shd w:fill="F0F9F8" w:val="clear"/>
        <w:spacing w:after="120" w:before="120"/>
        <w:ind w:left="360"/>
      </w:pPr>
      <w:r>
        <w:rPr>
          <w:rFonts w:ascii="Arial" w:cs="Arial" w:eastAsia="Arial" w:hAnsi="Arial"/>
          <w:color w:val="1B3A5C"/>
          <w:sz w:val="20"/>
          <w:szCs w:val="20"/>
        </w:rPr>
        <w:t xml:space="preserve">This block extends the base SE agent injection from SE_Baseline_1_ContextDocument.docx. Both blocks should be present when using agentic development tools in a compliance-scoped environment.</w:t>
      </w:r>
    </w:p>
    <w:p>
      <w:pPr>
        <w:spacing w:after="0" w:before="0"/>
      </w:pPr>
      <w:r>
        <w:t xml:space="preserve"/>
      </w:r>
    </w:p>
    <w:p>
      <w:pPr>
        <w:pBdr>
          <w:left w:val="single" w:color="0F766E" w:sz="8" w:space="4"/>
        </w:pBdr>
        <w:shd w:fill="1E293B" w:val="clear"/>
        <w:spacing w:after="60" w:before="120"/>
        <w:ind w:left="0"/>
      </w:pPr>
      <w:r>
        <w:rPr>
          <w:rFonts w:ascii="Courier New" w:cs="Courier New" w:eastAsia="Courier New" w:hAnsi="Courier New"/>
          <w:b/>
          <w:bCs/>
          <w:color w:val="C9993A"/>
          <w:sz w:val="18"/>
          <w:szCs w:val="18"/>
        </w:rPr>
        <w:t xml:space="preserve">  [COMPLIANCE BASELINE — SE Vol. 5]</w:t>
      </w:r>
    </w:p>
    <w:p>
      <w:pPr>
        <w:shd w:fill="1E293B" w:val="clear"/>
        <w:spacing w:after="0" w:before="0"/>
      </w:pPr>
      <w:r>
        <w:rPr>
          <w:rFonts w:ascii="Courier New" w:cs="Courier New" w:eastAsia="Courier New" w:hAnsi="Courier New"/>
          <w:color w:val="E2E8F0"/>
          <w:sz w:val="18"/>
          <w:szCs w:val="18"/>
        </w:rPr>
        <w:t xml:space="preserve">  You are operating in a compliance-scoped environment. In addition to base Supportability Engineering standards, every output must satisfy the following compliance requirements:</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DATA HANDLING</w:t>
      </w:r>
    </w:p>
    <w:p>
      <w:pPr>
        <w:shd w:fill="1E293B" w:val="clear"/>
        <w:spacing w:after="0" w:before="0"/>
      </w:pPr>
      <w:r>
        <w:rPr>
          <w:rFonts w:ascii="Courier New" w:cs="Courier New" w:eastAsia="Courier New" w:hAnsi="Courier New"/>
          <w:color w:val="E2E8F0"/>
          <w:sz w:val="18"/>
          <w:szCs w:val="18"/>
        </w:rPr>
        <w:t xml:space="preserve">  - Never include PII, credentials, tokens, or regulated data in any log output</w:t>
      </w:r>
    </w:p>
    <w:p>
      <w:pPr>
        <w:shd w:fill="1E293B" w:val="clear"/>
        <w:spacing w:after="0" w:before="0"/>
      </w:pPr>
      <w:r>
        <w:rPr>
          <w:rFonts w:ascii="Courier New" w:cs="Courier New" w:eastAsia="Courier New" w:hAnsi="Courier New"/>
          <w:color w:val="E2E8F0"/>
          <w:sz w:val="18"/>
          <w:szCs w:val="18"/>
        </w:rPr>
        <w:t xml:space="preserve">  - Every data write must include an audit trail entry: who, what, when, from where</w:t>
      </w:r>
    </w:p>
    <w:p>
      <w:pPr>
        <w:shd w:fill="1E293B" w:val="clear"/>
        <w:spacing w:after="0" w:before="0"/>
      </w:pPr>
      <w:r>
        <w:rPr>
          <w:rFonts w:ascii="Courier New" w:cs="Courier New" w:eastAsia="Courier New" w:hAnsi="Courier New"/>
          <w:color w:val="E2E8F0"/>
          <w:sz w:val="18"/>
          <w:szCs w:val="18"/>
        </w:rPr>
        <w:t xml:space="preserve">  - Classify every data element touched by this feature against DC-1 through DC-5</w:t>
      </w:r>
    </w:p>
    <w:p>
      <w:pPr>
        <w:shd w:fill="1E293B" w:val="clear"/>
        <w:spacing w:after="0" w:before="0"/>
      </w:pPr>
      <w:r>
        <w:rPr>
          <w:rFonts w:ascii="Courier New" w:cs="Courier New" w:eastAsia="Courier New" w:hAnsi="Courier New"/>
          <w:color w:val="E2E8F0"/>
          <w:sz w:val="18"/>
          <w:szCs w:val="18"/>
        </w:rPr>
        <w:t xml:space="preserve">  - Data at DC-4 or DC-5 must be encrypted at rest and in transit</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AUDIT AND EVIDENCE</w:t>
      </w:r>
    </w:p>
    <w:p>
      <w:pPr>
        <w:shd w:fill="1E293B" w:val="clear"/>
        <w:spacing w:after="0" w:before="0"/>
      </w:pPr>
      <w:r>
        <w:rPr>
          <w:rFonts w:ascii="Courier New" w:cs="Courier New" w:eastAsia="Courier New" w:hAnsi="Courier New"/>
          <w:color w:val="E2E8F0"/>
          <w:sz w:val="18"/>
          <w:szCs w:val="18"/>
        </w:rPr>
        <w:t xml:space="preserve">  - Every significant state change must produce a tamper-evident audit log entry</w:t>
      </w:r>
    </w:p>
    <w:p>
      <w:pPr>
        <w:shd w:fill="1E293B" w:val="clear"/>
        <w:spacing w:after="0" w:before="0"/>
      </w:pPr>
      <w:r>
        <w:rPr>
          <w:rFonts w:ascii="Courier New" w:cs="Courier New" w:eastAsia="Courier New" w:hAnsi="Courier New"/>
          <w:color w:val="E2E8F0"/>
          <w:sz w:val="18"/>
          <w:szCs w:val="18"/>
        </w:rPr>
        <w:t xml:space="preserve">  - Audit logs must be retained per the retention policy in the Compliance Context Document</w:t>
      </w:r>
    </w:p>
    <w:p>
      <w:pPr>
        <w:shd w:fill="1E293B" w:val="clear"/>
        <w:spacing w:after="0" w:before="0"/>
      </w:pPr>
      <w:r>
        <w:rPr>
          <w:rFonts w:ascii="Courier New" w:cs="Courier New" w:eastAsia="Courier New" w:hAnsi="Courier New"/>
          <w:color w:val="E2E8F0"/>
          <w:sz w:val="18"/>
          <w:szCs w:val="18"/>
        </w:rPr>
        <w:t xml:space="preserve">  - Evidence artifacts must be named, timestamped, and linked to the control they satisfy</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BREACH DETECTION</w:t>
      </w:r>
    </w:p>
    <w:p>
      <w:pPr>
        <w:shd w:fill="1E293B" w:val="clear"/>
        <w:spacing w:after="0" w:before="0"/>
      </w:pPr>
      <w:r>
        <w:rPr>
          <w:rFonts w:ascii="Courier New" w:cs="Courier New" w:eastAsia="Courier New" w:hAnsi="Courier New"/>
          <w:color w:val="E2E8F0"/>
          <w:sz w:val="18"/>
          <w:szCs w:val="18"/>
        </w:rPr>
        <w:t xml:space="preserve">  - Instrument alerts for unauthorized access attempts, data exfiltration patterns, and anomalous data access volumes</w:t>
      </w:r>
    </w:p>
    <w:p>
      <w:pPr>
        <w:shd w:fill="1E293B" w:val="clear"/>
        <w:spacing w:after="0" w:before="0"/>
      </w:pPr>
      <w:r>
        <w:rPr>
          <w:rFonts w:ascii="Courier New" w:cs="Courier New" w:eastAsia="Courier New" w:hAnsi="Courier New"/>
          <w:color w:val="E2E8F0"/>
          <w:sz w:val="18"/>
          <w:szCs w:val="18"/>
        </w:rPr>
        <w:t xml:space="preserve">  - Every alert must include: timestamp, affected data classification, affected customer count, and triggering event</w:t>
      </w:r>
    </w:p>
    <w:p>
      <w:pPr>
        <w:shd w:fill="1E293B" w:val="clear"/>
        <w:spacing w:after="0" w:before="0"/>
      </w:pPr>
      <w:r>
        <w:rPr>
          <w:rFonts w:ascii="Courier New" w:cs="Courier New" w:eastAsia="Courier New" w:hAnsi="Courier New"/>
          <w:color w:val="E2E8F0"/>
          <w:sz w:val="18"/>
          <w:szCs w:val="18"/>
        </w:rPr>
        <w:t xml:space="preserve">  - Breach notification timer starts at detection — not at investigation completion</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CHANGE CONTROL</w:t>
      </w:r>
    </w:p>
    <w:p>
      <w:pPr>
        <w:shd w:fill="1E293B" w:val="clear"/>
        <w:spacing w:after="0" w:before="0"/>
      </w:pPr>
      <w:r>
        <w:rPr>
          <w:rFonts w:ascii="Courier New" w:cs="Courier New" w:eastAsia="Courier New" w:hAnsi="Courier New"/>
          <w:color w:val="E2E8F0"/>
          <w:sz w:val="18"/>
          <w:szCs w:val="18"/>
        </w:rPr>
        <w:t xml:space="preserve">  - Every change to a compliance-scoped component must reference a change ticket</w:t>
      </w:r>
    </w:p>
    <w:p>
      <w:pPr>
        <w:shd w:fill="1E293B" w:val="clear"/>
        <w:spacing w:after="0" w:before="0"/>
      </w:pPr>
      <w:r>
        <w:rPr>
          <w:rFonts w:ascii="Courier New" w:cs="Courier New" w:eastAsia="Courier New" w:hAnsi="Courier New"/>
          <w:color w:val="E2E8F0"/>
          <w:sz w:val="18"/>
          <w:szCs w:val="18"/>
        </w:rPr>
        <w:t xml:space="preserve">  - Rollback procedures must be documented and tested before any compliance-scoped release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DEFAULT BEHAVIOR</w:t>
      </w:r>
    </w:p>
    <w:p>
      <w:pPr>
        <w:shd w:fill="1E293B" w:val="clear"/>
        <w:spacing w:after="0" w:before="0"/>
      </w:pPr>
      <w:r>
        <w:rPr>
          <w:rFonts w:ascii="Courier New" w:cs="Courier New" w:eastAsia="Courier New" w:hAnsi="Courier New"/>
          <w:color w:val="E2E8F0"/>
          <w:sz w:val="18"/>
          <w:szCs w:val="18"/>
        </w:rPr>
        <w:t xml:space="preserve">  - When uncertain whether a compliance control applies, apply it</w:t>
      </w:r>
    </w:p>
    <w:p>
      <w:pPr>
        <w:shd w:fill="1E293B" w:val="clear"/>
        <w:spacing w:after="0" w:before="0"/>
      </w:pPr>
      <w:r>
        <w:rPr>
          <w:rFonts w:ascii="Courier New" w:cs="Courier New" w:eastAsia="Courier New" w:hAnsi="Courier New"/>
          <w:color w:val="E2E8F0"/>
          <w:sz w:val="18"/>
          <w:szCs w:val="18"/>
        </w:rPr>
        <w:t xml:space="preserve">  - Never omit an audit trail entry to reduce log volume</w:t>
      </w:r>
    </w:p>
    <w:p>
      <w:pPr>
        <w:shd w:fill="1E293B" w:val="clear"/>
        <w:spacing w:after="0" w:before="0"/>
      </w:pPr>
      <w:r>
        <w:rPr>
          <w:rFonts w:ascii="Courier New" w:cs="Courier New" w:eastAsia="Courier New" w:hAnsi="Courier New"/>
          <w:color w:val="E2E8F0"/>
          <w:sz w:val="18"/>
          <w:szCs w:val="18"/>
        </w:rPr>
        <w:t xml:space="preserve">  - If a compliance requirement conflicts with a feature requirement, flag it — do not resolve silently</w:t>
      </w:r>
    </w:p>
    <w:p>
      <w:pPr>
        <w:shd w:fill="1E293B" w:val="clear"/>
        <w:spacing w:after="120" w:before="0"/>
      </w:pPr>
      <w:r>
        <w:rPr>
          <w:rFonts w:ascii="Courier New" w:cs="Courier New" w:eastAsia="Courier New" w:hAnsi="Courier New"/>
          <w:b/>
          <w:bCs/>
          <w:color w:val="C9993A"/>
          <w:sz w:val="18"/>
          <w:szCs w:val="18"/>
        </w:rPr>
        <w:t xml:space="preserve">  [END COMPLIANCE BASELINE]</w:t>
      </w:r>
    </w:p>
    <w:p>
      <w:pPr>
        <w:spacing w:after="0" w:before="0"/>
      </w:pPr>
      <w:r>
        <w:t xml:space="preserve"/>
      </w:r>
    </w:p>
    <w:p>
      <w:pPr>
        <w:pStyle w:val="Heading1"/>
      </w:pPr>
      <w:r>
        <w:rPr>
          <w:rFonts w:ascii="Arial" w:cs="Arial" w:eastAsia="Arial" w:hAnsi="Arial"/>
          <w:b/>
          <w:bCs/>
          <w:color w:val="0F2340"/>
          <w:sz w:val="26"/>
          <w:szCs w:val="26"/>
        </w:rPr>
        <w:t xml:space="preserve">9.  Sign-Off</w:t>
      </w:r>
    </w:p>
    <w:p>
      <w:pPr>
        <w:spacing w:after="60" w:before="60"/>
      </w:pPr>
      <w:r>
        <w:rPr>
          <w:rFonts w:ascii="Arial" w:cs="Arial" w:eastAsia="Arial" w:hAnsi="Arial"/>
          <w:sz w:val="22"/>
          <w:szCs w:val="22"/>
        </w:rPr>
        <w:t xml:space="preserve">Sign-off confirms this document reflects current compliance scope and organizational overrides. Review annually or when applicable regulatory obligations change.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Compliance / Legal</w:t>
            </w:r>
          </w:p>
        </w:tc>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Engineering Lead</w:t>
            </w:r>
          </w:p>
        </w:tc>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Security Lead</w:t>
            </w:r>
          </w:p>
        </w:tc>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Framework Owner</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6" w:space="1"/>
      </w:pBdr>
      <w:tabs>
        <w:tab w:val="right" w:pos="9360"/>
      </w:tabs>
      <w:spacing w:after="0" w:before="120"/>
    </w:pPr>
    <w:r>
      <w:rPr>
        <w:rFonts w:ascii="Arial" w:cs="Arial" w:eastAsia="Arial" w:hAnsi="Arial"/>
        <w:color w:val="666666"/>
        <w:sz w:val="16"/>
        <w:szCs w:val="16"/>
      </w:rPr>
      <w:t xml:space="preserve">John A. Bowman  |  Supportability Engineering  |  Confidential</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1"/>
      </w:pBdr>
      <w:tabs>
        <w:tab w:val="right" w:pos="9360"/>
      </w:tabs>
      <w:spacing w:after="120" w:before="0"/>
    </w:pPr>
    <w:r>
      <w:rPr>
        <w:rFonts w:ascii="Arial" w:cs="Arial" w:eastAsia="Arial" w:hAnsi="Arial"/>
        <w:b/>
        <w:bCs/>
        <w:color w:val="0F2340"/>
        <w:sz w:val="18"/>
        <w:szCs w:val="18"/>
      </w:rPr>
      <w:t xml:space="preserve">Supportability Engineering  |  Compliance Context Document</w:t>
    </w:r>
    <w:r>
      <w:rPr>
        <w:rFonts w:ascii="Arial" w:cs="Arial" w:eastAsia="Arial" w:hAnsi="Arial"/>
        <w:sz w:val="18"/>
        <w:szCs w:val="18"/>
      </w:rPr>
      <w:t xml:space="preserve">	</w:t>
    </w:r>
    <w:r>
      <w:rPr>
        <w:rFonts w:ascii="Arial" w:cs="Arial" w:eastAsia="Arial" w:hAnsi="Arial"/>
        <w:color w:val="666666"/>
        <w:sz w:val="18"/>
        <w:szCs w:val="18"/>
      </w:rPr>
      <w:t xml:space="preserve">Vol. 5 Baseline — Doc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234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2026-05-24T21:24:36.136Z</dcterms:created>
  <dcterms:modified xsi:type="dcterms:W3CDTF">2026-05-24T21:24:36.136Z</dcterms:modified>
</cp:coreProperties>
</file>

<file path=docProps/custom.xml><?xml version="1.0" encoding="utf-8"?>
<Properties xmlns="http://schemas.openxmlformats.org/officeDocument/2006/custom-properties" xmlns:vt="http://schemas.openxmlformats.org/officeDocument/2006/docPropsVTypes"/>
</file>