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F2340" w:val="clear"/>
        <w:spacing w:after="0" w:before="0"/>
      </w:pPr>
      <w:r>
        <w:rPr>
          <w:sz w:val="48"/>
          <w:szCs w:val="48"/>
        </w:rPr>
        <w:t xml:space="preserve"/>
      </w:r>
    </w:p>
    <w:p>
      <w:pPr>
        <w:shd w:fill="0F2340" w:val="clear"/>
        <w:spacing w:after="40" w:before="200"/>
        <w:jc w:val="center"/>
      </w:pPr>
      <w:r>
        <w:rPr>
          <w:rFonts w:ascii="Arial" w:cs="Arial" w:eastAsia="Arial" w:hAnsi="Arial"/>
          <w:b/>
          <w:bCs/>
          <w:color w:val="C9993A"/>
          <w:sz w:val="28"/>
          <w:szCs w:val="28"/>
        </w:rPr>
        <w:t xml:space="preserve">SUPPORTABILITY ENGINEERING</w:t>
      </w:r>
    </w:p>
    <w:p>
      <w:pPr>
        <w:shd w:fill="0F2340" w:val="clear"/>
        <w:spacing w:after="40" w:before="40"/>
        <w:jc w:val="center"/>
      </w:pPr>
      <w:r>
        <w:rPr>
          <w:rFonts w:ascii="Arial" w:cs="Arial" w:eastAsia="Arial" w:hAnsi="Arial"/>
          <w:color w:val="FFFFFF"/>
          <w:sz w:val="22"/>
          <w:szCs w:val="22"/>
        </w:rPr>
        <w:t xml:space="preserve">Compliance Baseline Standards Kit</w:t>
      </w:r>
    </w:p>
    <w:p>
      <w:pPr>
        <w:shd w:fill="0F2340" w:val="clear"/>
        <w:spacing w:after="40" w:before="40"/>
        <w:jc w:val="center"/>
      </w:pPr>
      <w:r>
        <w:rPr>
          <w:rFonts w:ascii="Arial" w:cs="Arial" w:eastAsia="Arial" w:hAnsi="Arial"/>
          <w:b/>
          <w:bCs/>
          <w:color w:val="FFFFFF"/>
          <w:sz w:val="32"/>
          <w:szCs w:val="32"/>
        </w:rPr>
        <w:t xml:space="preserve">Doc 4  —  Compliance Feature Specification</w:t>
      </w:r>
    </w:p>
    <w:p>
      <w:pPr>
        <w:shd w:fill="0F2340" w:val="clear"/>
        <w:spacing w:after="200" w:before="40"/>
        <w:jc w:val="center"/>
      </w:pPr>
      <w:r>
        <w:rPr>
          <w:rFonts w:ascii="Arial" w:cs="Arial" w:eastAsia="Arial" w:hAnsi="Arial"/>
          <w:color w:val="AAAAAA"/>
          <w:sz w:val="20"/>
          <w:szCs w:val="20"/>
        </w:rPr>
        <w:t xml:space="preserve">Per-feature compliance delta — references Doc 1 for all baseline standards</w:t>
      </w:r>
    </w:p>
    <w:p>
      <w:pPr>
        <w:shd w:fill="0F766E" w:val="clear"/>
        <w:spacing w:after="0" w:before="0"/>
      </w:pPr>
      <w:r>
        <w:rPr>
          <w:sz w:val="16"/>
          <w:szCs w:val="16"/>
        </w:rP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color w:val="000000"/>
                <w:sz w:val="20"/>
                <w:szCs w:val="20"/>
              </w:rPr>
              <w:t xml:space="preserve">Framework Author</w:t>
            </w:r>
          </w:p>
        </w:tc>
        <w:tc>
          <w:tcPr>
            <w:tcW w:type="dxa" w:w="69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John A. Bowman</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color w:val="000000"/>
                <w:sz w:val="20"/>
                <w:szCs w:val="20"/>
              </w:rPr>
              <w:t xml:space="preserve">Version</w:t>
            </w:r>
          </w:p>
        </w:tc>
        <w:tc>
          <w:tcPr>
            <w:tcW w:type="dxa" w:w="69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1.0</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color w:val="000000"/>
                <w:sz w:val="20"/>
                <w:szCs w:val="20"/>
              </w:rPr>
              <w:t xml:space="preserve">Date</w:t>
            </w:r>
          </w:p>
        </w:tc>
        <w:tc>
          <w:tcPr>
            <w:tcW w:type="dxa" w:w="69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May 2026</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color w:val="000000"/>
                <w:sz w:val="20"/>
                <w:szCs w:val="20"/>
              </w:rPr>
              <w:t xml:space="preserve">Doc 1 Reference</w:t>
            </w:r>
          </w:p>
        </w:tc>
        <w:tc>
          <w:tcPr>
            <w:tcW w:type="dxa" w:w="69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color w:val="000000"/>
                <w:sz w:val="20"/>
                <w:szCs w:val="20"/>
              </w:rPr>
              <w:t xml:space="preserve">Feature / Service Name</w:t>
            </w:r>
          </w:p>
        </w:tc>
        <w:tc>
          <w:tcPr>
            <w:tcW w:type="dxa" w:w="69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color w:val="000000"/>
                <w:sz w:val="20"/>
                <w:szCs w:val="20"/>
              </w:rPr>
              <w:t xml:space="preserve">Base SRD Reference</w:t>
            </w:r>
          </w:p>
        </w:tc>
        <w:tc>
          <w:tcPr>
            <w:tcW w:type="dxa" w:w="69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color w:val="000000"/>
                <w:sz w:val="20"/>
                <w:szCs w:val="20"/>
              </w:rPr>
              <w:t xml:space="preserve">Base C-SRD Reference</w:t>
            </w:r>
          </w:p>
        </w:tc>
        <w:tc>
          <w:tcPr>
            <w:tcW w:type="dxa" w:w="69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color w:val="000000"/>
                <w:sz w:val="20"/>
                <w:szCs w:val="20"/>
              </w:rPr>
              <w:t xml:space="preserve">Author</w:t>
            </w:r>
          </w:p>
        </w:tc>
        <w:tc>
          <w:tcPr>
            <w:tcW w:type="dxa" w:w="69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color w:val="000000"/>
                <w:sz w:val="20"/>
                <w:szCs w:val="20"/>
              </w:rPr>
              <w:t xml:space="preserve">Date</w:t>
            </w:r>
          </w:p>
        </w:tc>
        <w:tc>
          <w:tcPr>
            <w:tcW w:type="dxa" w:w="69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r>
    </w:tbl>
    <w:p>
      <w:pPr>
        <w:spacing w:after="0" w:before="0"/>
      </w:pPr>
      <w:r>
        <w:t xml:space="preserve"/>
      </w:r>
    </w:p>
    <w:p>
      <w:pPr>
        <w:pStyle w:val="Heading1"/>
      </w:pPr>
      <w:r>
        <w:rPr>
          <w:rFonts w:ascii="Arial" w:cs="Arial" w:eastAsia="Arial" w:hAnsi="Arial"/>
          <w:b/>
          <w:bCs/>
          <w:color w:val="0F2340"/>
          <w:sz w:val="26"/>
          <w:szCs w:val="26"/>
        </w:rPr>
        <w:t xml:space="preserve">1.  Purpose</w:t>
      </w:r>
    </w:p>
    <w:p>
      <w:pPr>
        <w:spacing w:after="60" w:before="60"/>
      </w:pPr>
      <w:r>
        <w:rPr>
          <w:rFonts w:ascii="Arial" w:cs="Arial" w:eastAsia="Arial" w:hAnsi="Arial"/>
          <w:sz w:val="22"/>
          <w:szCs w:val="22"/>
        </w:rPr>
        <w:t xml:space="preserve">This document captures the compliance-specific requirements that are unique to this feature. It does not repeat the baseline standards from SE_Baseline_C_Doc1_ComplianceContextDocument.docx — it references them. Only deviations, additions, and feature-specific obligations are recorded here.</w:t>
      </w:r>
    </w:p>
    <w:p>
      <w:pPr>
        <w:pBdr>
          <w:left w:val="single" w:color="0F766E" w:sz="12" w:space="4"/>
        </w:pBdr>
        <w:shd w:fill="F0F9F8" w:val="clear"/>
        <w:spacing w:after="120" w:before="120"/>
        <w:ind w:left="360"/>
      </w:pPr>
      <w:r>
        <w:rPr>
          <w:rFonts w:ascii="Arial" w:cs="Arial" w:eastAsia="Arial" w:hAnsi="Arial"/>
          <w:color w:val="1B3A5C"/>
          <w:sz w:val="20"/>
          <w:szCs w:val="20"/>
        </w:rPr>
        <w:t xml:space="preserve">If a field in this document would simply repeat the baseline, leave it blank and note "See Doc 1." The goal is a concise, feature-specific compliance record — not a copy of the framework documentation.</w:t>
      </w:r>
    </w:p>
    <w:p>
      <w:pPr>
        <w:spacing w:after="0" w:before="0"/>
      </w:pPr>
      <w:r>
        <w:t xml:space="preserve"/>
      </w:r>
    </w:p>
    <w:p>
      <w:pPr>
        <w:pStyle w:val="Heading1"/>
      </w:pPr>
      <w:r>
        <w:rPr>
          <w:rFonts w:ascii="Arial" w:cs="Arial" w:eastAsia="Arial" w:hAnsi="Arial"/>
          <w:b/>
          <w:bCs/>
          <w:color w:val="0F2340"/>
          <w:sz w:val="26"/>
          <w:szCs w:val="26"/>
        </w:rPr>
        <w:t xml:space="preserve">2.  Feature Compliance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color w:val="000000"/>
                <w:sz w:val="20"/>
                <w:szCs w:val="20"/>
              </w:rPr>
              <w:t xml:space="preserve">Feature Description</w:t>
            </w:r>
          </w:p>
        </w:tc>
        <w:tc>
          <w:tcPr>
            <w:tcW w:type="dxa" w:w="6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Plain-language description of what this feature does and why it exists.</w:t>
            </w:r>
          </w:p>
        </w:tc>
      </w:tr>
      <w:tr>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c>
          <w:tcPr>
            <w:tcW w:type="dxa" w:w="6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r>
      <w:tr>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color w:val="000000"/>
                <w:sz w:val="20"/>
                <w:szCs w:val="20"/>
              </w:rPr>
              <w:t xml:space="preserve">Applicable Org Profile</w:t>
            </w:r>
          </w:p>
        </w:tc>
        <w:tc>
          <w:tcPr>
            <w:tcW w:type="dxa" w:w="6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Profile 0 / 1 / 2 / 3 / 4 / 5  (from Doc 1 Section 2)</w:t>
            </w:r>
          </w:p>
        </w:tc>
      </w:tr>
      <w:tr>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color w:val="000000"/>
                <w:sz w:val="20"/>
                <w:szCs w:val="20"/>
              </w:rPr>
              <w:t xml:space="preserve">Does this feature change the profile?</w:t>
            </w:r>
          </w:p>
        </w:tc>
        <w:tc>
          <w:tcPr>
            <w:tcW w:type="dxa" w:w="6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Yes / No — if Yes, state the new profile and reason below</w:t>
            </w:r>
          </w:p>
        </w:tc>
      </w:tr>
      <w:tr>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color w:val="000000"/>
                <w:sz w:val="20"/>
                <w:szCs w:val="20"/>
              </w:rPr>
              <w:t xml:space="preserve">Profile change reason</w:t>
            </w:r>
          </w:p>
        </w:tc>
        <w:tc>
          <w:tcPr>
            <w:tcW w:type="dxa" w:w="6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r>
    </w:tbl>
    <w:p>
      <w:pPr>
        <w:spacing w:after="0" w:before="0"/>
      </w:pPr>
      <w:r>
        <w:t xml:space="preserve"/>
      </w:r>
    </w:p>
    <w:p>
      <w:pPr>
        <w:pStyle w:val="Heading1"/>
      </w:pPr>
      <w:r>
        <w:rPr>
          <w:rFonts w:ascii="Arial" w:cs="Arial" w:eastAsia="Arial" w:hAnsi="Arial"/>
          <w:b/>
          <w:bCs/>
          <w:color w:val="0F2340"/>
          <w:sz w:val="26"/>
          <w:szCs w:val="26"/>
        </w:rPr>
        <w:t xml:space="preserve">3.  Data Elements Introduced by This Feature</w:t>
      </w:r>
    </w:p>
    <w:p>
      <w:pPr>
        <w:spacing w:after="60" w:before="60"/>
      </w:pPr>
      <w:r>
        <w:rPr>
          <w:rFonts w:ascii="Arial" w:cs="Arial" w:eastAsia="Arial" w:hAnsi="Arial"/>
          <w:sz w:val="22"/>
          <w:szCs w:val="22"/>
        </w:rPr>
        <w:t xml:space="preserve">List only new data elements — elements not already covered by the baseline in Doc 1. For each, confirm classification and handling requirements.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600"/>
        <w:gridCol w:w="1680"/>
        <w:gridCol w:w="2280"/>
      </w:tblGrid>
      <w:tr>
        <w:tc>
          <w:tcPr>
            <w:tcW w:type="dxa" w:w="24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Data Element</w:t>
            </w:r>
          </w:p>
        </w:tc>
        <w:tc>
          <w:tcPr>
            <w:tcW w:type="dxa" w:w="14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Classification</w:t>
            </w:r>
          </w:p>
        </w:tc>
        <w:tc>
          <w:tcPr>
            <w:tcW w:type="dxa" w:w="16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Encrypted?</w:t>
            </w:r>
          </w:p>
        </w:tc>
        <w:tc>
          <w:tcPr>
            <w:tcW w:type="dxa" w:w="168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Logged?</w:t>
            </w:r>
          </w:p>
        </w:tc>
        <w:tc>
          <w:tcPr>
            <w:tcW w:type="dxa" w:w="228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Retention</w:t>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DC-?</w:t>
            </w:r>
          </w:p>
        </w:tc>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Yes / No</w:t>
            </w:r>
          </w:p>
        </w:tc>
        <w:tc>
          <w:tcPr>
            <w:tcW w:type="dxa" w:w="1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Never / Masked / Ref only</w:t>
            </w:r>
          </w:p>
        </w:tc>
        <w:tc>
          <w:tcPr>
            <w:tcW w:type="dxa" w:w="22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DC-?</w:t>
            </w:r>
          </w:p>
        </w:tc>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Yes / No</w:t>
            </w:r>
          </w:p>
        </w:tc>
        <w:tc>
          <w:tcPr>
            <w:tcW w:type="dxa" w:w="1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Never / Masked / Ref only</w:t>
            </w:r>
          </w:p>
        </w:tc>
        <w:tc>
          <w:tcPr>
            <w:tcW w:type="dxa" w:w="22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DC-?</w:t>
            </w:r>
          </w:p>
        </w:tc>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Yes / No</w:t>
            </w:r>
          </w:p>
        </w:tc>
        <w:tc>
          <w:tcPr>
            <w:tcW w:type="dxa" w:w="1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Never / Masked / Ref only</w:t>
            </w:r>
          </w:p>
        </w:tc>
        <w:tc>
          <w:tcPr>
            <w:tcW w:type="dxa" w:w="22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DC-?</w:t>
            </w:r>
          </w:p>
        </w:tc>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Yes / No</w:t>
            </w:r>
          </w:p>
        </w:tc>
        <w:tc>
          <w:tcPr>
            <w:tcW w:type="dxa" w:w="1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Never / Masked / Ref only</w:t>
            </w:r>
          </w:p>
        </w:tc>
        <w:tc>
          <w:tcPr>
            <w:tcW w:type="dxa" w:w="22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DC-?</w:t>
            </w:r>
          </w:p>
        </w:tc>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Yes / No</w:t>
            </w:r>
          </w:p>
        </w:tc>
        <w:tc>
          <w:tcPr>
            <w:tcW w:type="dxa" w:w="1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Never / Masked / Ref only</w:t>
            </w:r>
          </w:p>
        </w:tc>
        <w:tc>
          <w:tcPr>
            <w:tcW w:type="dxa" w:w="22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r>
    </w:tbl>
    <w:p>
      <w:pPr>
        <w:spacing w:after="0" w:before="0"/>
      </w:pPr>
      <w:r>
        <w:t xml:space="preserve"/>
      </w:r>
    </w:p>
    <w:p>
      <w:pPr>
        <w:pStyle w:val="Heading1"/>
      </w:pPr>
      <w:r>
        <w:rPr>
          <w:rFonts w:ascii="Arial" w:cs="Arial" w:eastAsia="Arial" w:hAnsi="Arial"/>
          <w:b/>
          <w:bCs/>
          <w:color w:val="0F2340"/>
          <w:sz w:val="26"/>
          <w:szCs w:val="26"/>
        </w:rPr>
        <w:t xml:space="preserve">4.  Feature-Specific Control Obligations</w:t>
      </w:r>
    </w:p>
    <w:p>
      <w:pPr>
        <w:spacing w:after="60" w:before="60"/>
      </w:pPr>
      <w:r>
        <w:rPr>
          <w:rFonts w:ascii="Arial" w:cs="Arial" w:eastAsia="Arial" w:hAnsi="Arial"/>
          <w:sz w:val="22"/>
          <w:szCs w:val="22"/>
        </w:rPr>
        <w:t xml:space="preserve">List only controls that apply specifically to this feature beyond the baseline in Doc 1 Section 3. For example: a feature that processes financial transactions may trigger SOX ITGC obligations not applicable to other features.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160"/>
        <w:gridCol w:w="3600"/>
      </w:tblGrid>
      <w:tr>
        <w:tc>
          <w:tcPr>
            <w:tcW w:type="dxa" w:w="18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Framework</w:t>
            </w:r>
          </w:p>
        </w:tc>
        <w:tc>
          <w:tcPr>
            <w:tcW w:type="dxa" w:w="18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Control</w:t>
            </w:r>
          </w:p>
        </w:tc>
        <w:tc>
          <w:tcPr>
            <w:tcW w:type="dxa" w:w="216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SE Phase</w:t>
            </w:r>
          </w:p>
        </w:tc>
        <w:tc>
          <w:tcPr>
            <w:tcW w:type="dxa" w:w="36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Feature-Specific Obligation</w:t>
            </w:r>
          </w:p>
        </w:tc>
      </w:tr>
      <w:tr>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c>
          <w:tcPr>
            <w:tcW w:type="dxa" w:w="21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c>
          <w:tcPr>
            <w:tcW w:type="dxa" w:w="3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r>
      <w:tr>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c>
          <w:tcPr>
            <w:tcW w:type="dxa" w:w="21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c>
          <w:tcPr>
            <w:tcW w:type="dxa" w:w="3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r>
      <w:tr>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c>
          <w:tcPr>
            <w:tcW w:type="dxa" w:w="21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c>
          <w:tcPr>
            <w:tcW w:type="dxa" w:w="3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r>
      <w:tr>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c>
          <w:tcPr>
            <w:tcW w:type="dxa" w:w="21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c>
          <w:tcPr>
            <w:tcW w:type="dxa" w:w="3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r>
    </w:tbl>
    <w:p>
      <w:pPr>
        <w:spacing w:after="0" w:before="0"/>
      </w:pPr>
      <w:r>
        <w:t xml:space="preserve"/>
      </w:r>
    </w:p>
    <w:p>
      <w:pPr>
        <w:pStyle w:val="Heading1"/>
      </w:pPr>
      <w:r>
        <w:rPr>
          <w:rFonts w:ascii="Arial" w:cs="Arial" w:eastAsia="Arial" w:hAnsi="Arial"/>
          <w:b/>
          <w:bCs/>
          <w:color w:val="0F2340"/>
          <w:sz w:val="26"/>
          <w:szCs w:val="26"/>
        </w:rPr>
        <w:t xml:space="preserve">5.  Breach Detection Requirements — This Feature</w:t>
      </w:r>
    </w:p>
    <w:p>
      <w:pPr>
        <w:spacing w:after="60" w:before="60"/>
      </w:pPr>
      <w:r>
        <w:rPr>
          <w:rFonts w:ascii="Arial" w:cs="Arial" w:eastAsia="Arial" w:hAnsi="Arial"/>
          <w:sz w:val="22"/>
          <w:szCs w:val="22"/>
        </w:rPr>
        <w:t xml:space="preserve">Define the specific breach detection obligations for this feature. Reference Doc 1 Section 6 for notification thresholds — record only what is unique to this feature here.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color w:val="000000"/>
                <w:sz w:val="20"/>
                <w:szCs w:val="20"/>
              </w:rPr>
              <w:t xml:space="preserve">Breach trigger definition</w:t>
            </w:r>
          </w:p>
        </w:tc>
        <w:tc>
          <w:tcPr>
            <w:tcW w:type="dxa" w:w="6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What event or pattern constitutes a breach for this feature?</w:t>
            </w:r>
          </w:p>
        </w:tc>
      </w:tr>
      <w:tr>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c>
          <w:tcPr>
            <w:tcW w:type="dxa" w:w="6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r>
      <w:tr>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color w:val="000000"/>
                <w:sz w:val="20"/>
                <w:szCs w:val="20"/>
              </w:rPr>
              <w:t xml:space="preserve">Affected data classification</w:t>
            </w:r>
          </w:p>
        </w:tc>
        <w:tc>
          <w:tcPr>
            <w:tcW w:type="dxa" w:w="6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DC-?</w:t>
            </w:r>
          </w:p>
        </w:tc>
      </w:tr>
      <w:tr>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color w:val="000000"/>
                <w:sz w:val="20"/>
                <w:szCs w:val="20"/>
              </w:rPr>
              <w:t xml:space="preserve">Max customer exposure</w:t>
            </w:r>
          </w:p>
        </w:tc>
        <w:tc>
          <w:tcPr>
            <w:tcW w:type="dxa" w:w="6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Estimated number of customers affected if a breach occurs</w:t>
            </w:r>
          </w:p>
        </w:tc>
      </w:tr>
      <w:tr>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color w:val="000000"/>
                <w:sz w:val="20"/>
                <w:szCs w:val="20"/>
              </w:rPr>
              <w:t xml:space="preserve">Notification timeline</w:t>
            </w:r>
          </w:p>
        </w:tc>
        <w:tc>
          <w:tcPr>
            <w:tcW w:type="dxa" w:w="6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Reference Doc 1 Section 6 unless this feature has a shorter obligation</w:t>
            </w:r>
          </w:p>
        </w:tc>
      </w:tr>
      <w:tr>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color w:val="000000"/>
                <w:sz w:val="20"/>
                <w:szCs w:val="20"/>
              </w:rPr>
              <w:t xml:space="preserve">Alert instrumented?</w:t>
            </w:r>
          </w:p>
        </w:tc>
        <w:tc>
          <w:tcPr>
            <w:tcW w:type="dxa" w:w="6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Yes / No — if Yes, reference SIC / STP record</w:t>
            </w:r>
          </w:p>
        </w:tc>
      </w:tr>
      <w:tr>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color w:val="000000"/>
                <w:sz w:val="20"/>
                <w:szCs w:val="20"/>
              </w:rPr>
              <w:t xml:space="preserve">Runbook location</w:t>
            </w:r>
          </w:p>
        </w:tc>
        <w:tc>
          <w:tcPr>
            <w:tcW w:type="dxa" w:w="6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r>
    </w:tbl>
    <w:p>
      <w:pPr>
        <w:spacing w:after="0" w:before="0"/>
      </w:pPr>
      <w:r>
        <w:t xml:space="preserve"/>
      </w:r>
    </w:p>
    <w:p>
      <w:pPr>
        <w:pStyle w:val="Heading1"/>
      </w:pPr>
      <w:r>
        <w:rPr>
          <w:rFonts w:ascii="Arial" w:cs="Arial" w:eastAsia="Arial" w:hAnsi="Arial"/>
          <w:b/>
          <w:bCs/>
          <w:color w:val="0F2340"/>
          <w:sz w:val="26"/>
          <w:szCs w:val="26"/>
        </w:rPr>
        <w:t xml:space="preserve">6.  Audit Trail Specification — This Feature</w:t>
      </w:r>
    </w:p>
    <w:p>
      <w:pPr>
        <w:spacing w:after="60" w:before="60"/>
      </w:pPr>
      <w:r>
        <w:rPr>
          <w:rFonts w:ascii="Arial" w:cs="Arial" w:eastAsia="Arial" w:hAnsi="Arial"/>
          <w:sz w:val="22"/>
          <w:szCs w:val="22"/>
        </w:rPr>
        <w:t xml:space="preserve">Define what must be in the audit trail for this feature. Every data write must produce an audit entry. Record the schema here so it can be verified at SIC and tested at STP.</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80"/>
        <w:gridCol w:w="3680"/>
      </w:tblGrid>
      <w:tr>
        <w:tc>
          <w:tcPr>
            <w:tcW w:type="dxa" w:w="24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Event</w:t>
            </w:r>
          </w:p>
        </w:tc>
        <w:tc>
          <w:tcPr>
            <w:tcW w:type="dxa" w:w="16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Required Fields</w:t>
            </w:r>
          </w:p>
        </w:tc>
        <w:tc>
          <w:tcPr>
            <w:tcW w:type="dxa" w:w="168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Retention</w:t>
            </w:r>
          </w:p>
        </w:tc>
        <w:tc>
          <w:tcPr>
            <w:tcW w:type="dxa" w:w="368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Notes</w:t>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18"/>
                <w:szCs w:val="18"/>
              </w:rPr>
              <w:t xml:space="preserve">timestamp · actor · action · entity · result · correlation_id</w:t>
            </w:r>
          </w:p>
        </w:tc>
        <w:tc>
          <w:tcPr>
            <w:tcW w:type="dxa" w:w="1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c>
          <w:tcPr>
            <w:tcW w:type="dxa" w:w="3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c>
          <w:tcPr>
            <w:tcW w:type="dxa" w:w="1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c>
          <w:tcPr>
            <w:tcW w:type="dxa" w:w="3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c>
          <w:tcPr>
            <w:tcW w:type="dxa" w:w="1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c>
          <w:tcPr>
            <w:tcW w:type="dxa" w:w="3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c>
          <w:tcPr>
            <w:tcW w:type="dxa" w:w="1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c>
          <w:tcPr>
            <w:tcW w:type="dxa" w:w="3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c>
          <w:tcPr>
            <w:tcW w:type="dxa" w:w="1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c>
          <w:tcPr>
            <w:tcW w:type="dxa" w:w="3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r>
    </w:tbl>
    <w:p>
      <w:pPr>
        <w:spacing w:after="0" w:before="0"/>
      </w:pPr>
      <w:r>
        <w:t xml:space="preserve"/>
      </w:r>
    </w:p>
    <w:p>
      <w:pPr>
        <w:pStyle w:val="Heading1"/>
      </w:pPr>
      <w:r>
        <w:rPr>
          <w:rFonts w:ascii="Arial" w:cs="Arial" w:eastAsia="Arial" w:hAnsi="Arial"/>
          <w:b/>
          <w:bCs/>
          <w:color w:val="0F2340"/>
          <w:sz w:val="26"/>
          <w:szCs w:val="26"/>
        </w:rPr>
        <w:t xml:space="preserve">7.  C- Template Checklist — This Feature</w:t>
      </w:r>
    </w:p>
    <w:p>
      <w:pPr>
        <w:spacing w:after="60" w:before="60"/>
      </w:pPr>
      <w:r>
        <w:rPr>
          <w:rFonts w:ascii="Arial" w:cs="Arial" w:eastAsia="Arial" w:hAnsi="Arial"/>
          <w:sz w:val="22"/>
          <w:szCs w:val="22"/>
        </w:rPr>
        <w:t xml:space="preserve">Confirm which C- templates are required for this feature based on the profile selected in Section 2. Check all that apply.</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7560"/>
        <w:gridCol w:w="1400"/>
      </w:tblGrid>
      <w:tr>
        <w:tc>
          <w:tcPr>
            <w:gridSpan w:val="3"/>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  Required C- Deliverables</w:t>
            </w:r>
          </w:p>
        </w:tc>
      </w:tr>
      <w:tr>
        <w:tc>
          <w:tcPr>
            <w:tcW w:type="dxa" w:w="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000000"/>
                <w:sz w:val="20"/>
                <w:szCs w:val="20"/>
              </w:rPr>
              <w:t xml:space="preserve">☐</w:t>
            </w:r>
          </w:p>
        </w:tc>
        <w:tc>
          <w:tcPr>
            <w:tcW w:type="dxa" w:w="7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C-SRD — Compliance addendum to the Supportability Requirements Document</w:t>
            </w:r>
          </w:p>
        </w:tc>
        <w:tc>
          <w:tcPr>
            <w:tcW w:type="dxa" w:w="1400"/>
            <w:gridSpan w:val="1"/>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jc w:val="center"/>
            </w:pPr>
            <w:r>
              <w:rPr>
                <w:rFonts w:ascii="Arial" w:cs="Arial" w:eastAsia="Arial" w:hAnsi="Arial"/>
                <w:b/>
                <w:bCs/>
                <w:color w:val="1B4DB5"/>
                <w:sz w:val="20"/>
                <w:szCs w:val="20"/>
              </w:rPr>
              <w:t xml:space="preserve">Required</w:t>
            </w:r>
          </w:p>
        </w:tc>
      </w:tr>
      <w:tr>
        <w:tc>
          <w:tcPr>
            <w:tcW w:type="dxa" w:w="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000000"/>
                <w:sz w:val="20"/>
                <w:szCs w:val="20"/>
              </w:rPr>
              <w:t xml:space="preserve">☐</w:t>
            </w:r>
          </w:p>
        </w:tc>
        <w:tc>
          <w:tcPr>
            <w:tcW w:type="dxa" w:w="7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C-SAR — Compliance addendum to the Supportability Architecture Review (Profile 4/5 or DPIA required)</w:t>
            </w:r>
          </w:p>
        </w:tc>
        <w:tc>
          <w:tcPr>
            <w:tcW w:type="dxa" w:w="1400"/>
            <w:gridSpan w:val="1"/>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spacing w:after="40" w:before="40"/>
              <w:jc w:val="center"/>
            </w:pPr>
            <w:r>
              <w:rPr>
                <w:rFonts w:ascii="Arial" w:cs="Arial" w:eastAsia="Arial" w:hAnsi="Arial"/>
                <w:b/>
                <w:bCs/>
                <w:color w:val="7A5A00"/>
                <w:sz w:val="20"/>
                <w:szCs w:val="20"/>
              </w:rPr>
              <w:t xml:space="preserve">If applicable</w:t>
            </w:r>
          </w:p>
        </w:tc>
      </w:tr>
      <w:tr>
        <w:tc>
          <w:tcPr>
            <w:tcW w:type="dxa" w:w="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000000"/>
                <w:sz w:val="20"/>
                <w:szCs w:val="20"/>
              </w:rPr>
              <w:t xml:space="preserve">☐</w:t>
            </w:r>
          </w:p>
        </w:tc>
        <w:tc>
          <w:tcPr>
            <w:tcW w:type="dxa" w:w="7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C-SIC — Compliance addendum to the Supportability Implementation Checklist</w:t>
            </w:r>
          </w:p>
        </w:tc>
        <w:tc>
          <w:tcPr>
            <w:tcW w:type="dxa" w:w="1400"/>
            <w:gridSpan w:val="1"/>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spacing w:after="40" w:before="40"/>
              <w:jc w:val="center"/>
            </w:pPr>
            <w:r>
              <w:rPr>
                <w:rFonts w:ascii="Arial" w:cs="Arial" w:eastAsia="Arial" w:hAnsi="Arial"/>
                <w:b/>
                <w:bCs/>
                <w:color w:val="7A5A00"/>
                <w:sz w:val="20"/>
                <w:szCs w:val="20"/>
              </w:rPr>
              <w:t xml:space="preserve">If applicable</w:t>
            </w:r>
          </w:p>
        </w:tc>
      </w:tr>
      <w:tr>
        <w:tc>
          <w:tcPr>
            <w:tcW w:type="dxa" w:w="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000000"/>
                <w:sz w:val="20"/>
                <w:szCs w:val="20"/>
              </w:rPr>
              <w:t xml:space="preserve">☐</w:t>
            </w:r>
          </w:p>
        </w:tc>
        <w:tc>
          <w:tcPr>
            <w:tcW w:type="dxa" w:w="7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C-STP — Compliance addendum to the Supportability Test Plan (SOC 2 / FedRAMP / breach notification)</w:t>
            </w:r>
          </w:p>
        </w:tc>
        <w:tc>
          <w:tcPr>
            <w:tcW w:type="dxa" w:w="1400"/>
            <w:gridSpan w:val="1"/>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spacing w:after="40" w:before="40"/>
              <w:jc w:val="center"/>
            </w:pPr>
            <w:r>
              <w:rPr>
                <w:rFonts w:ascii="Arial" w:cs="Arial" w:eastAsia="Arial" w:hAnsi="Arial"/>
                <w:b/>
                <w:bCs/>
                <w:color w:val="7A5A00"/>
                <w:sz w:val="20"/>
                <w:szCs w:val="20"/>
              </w:rPr>
              <w:t xml:space="preserve">If applicable</w:t>
            </w:r>
          </w:p>
        </w:tc>
      </w:tr>
      <w:tr>
        <w:tc>
          <w:tcPr>
            <w:tcW w:type="dxa" w:w="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000000"/>
                <w:sz w:val="20"/>
                <w:szCs w:val="20"/>
              </w:rPr>
              <w:t xml:space="preserve">☐</w:t>
            </w:r>
          </w:p>
        </w:tc>
        <w:tc>
          <w:tcPr>
            <w:tcW w:type="dxa" w:w="7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C-SRR — Compliance addendum to the Support Readiness Review</w:t>
            </w:r>
          </w:p>
        </w:tc>
        <w:tc>
          <w:tcPr>
            <w:tcW w:type="dxa" w:w="1400"/>
            <w:gridSpan w:val="1"/>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jc w:val="center"/>
            </w:pPr>
            <w:r>
              <w:rPr>
                <w:rFonts w:ascii="Arial" w:cs="Arial" w:eastAsia="Arial" w:hAnsi="Arial"/>
                <w:b/>
                <w:bCs/>
                <w:color w:val="1B4DB5"/>
                <w:sz w:val="20"/>
                <w:szCs w:val="20"/>
              </w:rPr>
              <w:t xml:space="preserve">Required</w:t>
            </w:r>
          </w:p>
        </w:tc>
      </w:tr>
      <w:tr>
        <w:tc>
          <w:tcPr>
            <w:tcW w:type="dxa" w:w="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center"/>
            </w:pPr>
            <w:r>
              <w:rPr>
                <w:rFonts w:ascii="Arial" w:cs="Arial" w:eastAsia="Arial" w:hAnsi="Arial"/>
                <w:b w:val="false"/>
                <w:bCs w:val="false"/>
                <w:color w:val="000000"/>
                <w:sz w:val="20"/>
                <w:szCs w:val="20"/>
              </w:rPr>
              <w:t xml:space="preserve">☐</w:t>
            </w:r>
          </w:p>
        </w:tc>
        <w:tc>
          <w:tcPr>
            <w:tcW w:type="dxa" w:w="7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C-SFL — Compliance addendum to the Supportability Feedback Loop (Profile 4/5)</w:t>
            </w:r>
          </w:p>
        </w:tc>
        <w:tc>
          <w:tcPr>
            <w:tcW w:type="dxa" w:w="1400"/>
            <w:gridSpan w:val="1"/>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spacing w:after="40" w:before="40"/>
              <w:jc w:val="center"/>
            </w:pPr>
            <w:r>
              <w:rPr>
                <w:rFonts w:ascii="Arial" w:cs="Arial" w:eastAsia="Arial" w:hAnsi="Arial"/>
                <w:b/>
                <w:bCs/>
                <w:color w:val="7A5A00"/>
                <w:sz w:val="20"/>
                <w:szCs w:val="20"/>
              </w:rPr>
              <w:t xml:space="preserve">If applicable</w:t>
            </w:r>
          </w:p>
        </w:tc>
      </w:tr>
    </w:tbl>
    <w:p>
      <w:pPr>
        <w:spacing w:after="0" w:before="0"/>
      </w:pPr>
      <w:r>
        <w:t xml:space="preserve"/>
      </w:r>
    </w:p>
    <w:p>
      <w:pPr>
        <w:pStyle w:val="Heading1"/>
      </w:pPr>
      <w:r>
        <w:rPr>
          <w:rFonts w:ascii="Arial" w:cs="Arial" w:eastAsia="Arial" w:hAnsi="Arial"/>
          <w:b/>
          <w:bCs/>
          <w:color w:val="0F2340"/>
          <w:sz w:val="26"/>
          <w:szCs w:val="26"/>
        </w:rPr>
        <w:t xml:space="preserve">8.  Deviations from Baseline</w:t>
      </w:r>
    </w:p>
    <w:p>
      <w:pPr>
        <w:spacing w:after="60" w:before="60"/>
      </w:pPr>
      <w:r>
        <w:rPr>
          <w:rFonts w:ascii="Arial" w:cs="Arial" w:eastAsia="Arial" w:hAnsi="Arial"/>
          <w:sz w:val="22"/>
          <w:szCs w:val="22"/>
        </w:rPr>
        <w:t xml:space="preserve">Record any cases where this feature requires a different standard than the baseline in Doc 1. Every deviation must be justified and approved by the compliance contact.</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Baseline Standard</w:t>
            </w:r>
          </w:p>
        </w:tc>
        <w:tc>
          <w:tcPr>
            <w:tcW w:type="dxa" w:w="24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This Feature Deviation</w:t>
            </w:r>
          </w:p>
        </w:tc>
        <w:tc>
          <w:tcPr>
            <w:tcW w:type="dxa" w:w="240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Justification</w:t>
            </w:r>
          </w:p>
        </w:tc>
        <w:tc>
          <w:tcPr>
            <w:tcW w:type="dxa" w:w="216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Approved By</w:t>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c>
          <w:tcPr>
            <w:tcW w:type="dxa" w:w="21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c>
          <w:tcPr>
            <w:tcW w:type="dxa" w:w="21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c>
          <w:tcPr>
            <w:tcW w:type="dxa" w:w="21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r>
    </w:tbl>
    <w:p>
      <w:pPr>
        <w:spacing w:after="0" w:before="0"/>
      </w:pPr>
      <w:r>
        <w:t xml:space="preserve"/>
      </w:r>
    </w:p>
    <w:p>
      <w:pPr>
        <w:pStyle w:val="Heading1"/>
      </w:pPr>
      <w:r>
        <w:rPr>
          <w:rFonts w:ascii="Arial" w:cs="Arial" w:eastAsia="Arial" w:hAnsi="Arial"/>
          <w:b/>
          <w:bCs/>
          <w:color w:val="0F2340"/>
          <w:sz w:val="26"/>
          <w:szCs w:val="26"/>
        </w:rPr>
        <w:t xml:space="preserve">9.  Sign-Off</w:t>
      </w:r>
    </w:p>
    <w:p>
      <w:pPr>
        <w:spacing w:after="60" w:before="60"/>
      </w:pPr>
      <w:r>
        <w:rPr>
          <w:rFonts w:ascii="Arial" w:cs="Arial" w:eastAsia="Arial" w:hAnsi="Arial"/>
          <w:sz w:val="22"/>
          <w:szCs w:val="22"/>
        </w:rPr>
        <w:t xml:space="preserve">Sign-off confirms this document reflects current compliance requirements for this feature. Review whenever the feature scope changes or a new compliance obligation applies.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Feature Owner</w:t>
            </w:r>
          </w:p>
        </w:tc>
        <w:tc>
          <w:tcPr>
            <w:tcW w:type="dxa" w:w="234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Engineering Lead</w:t>
            </w:r>
          </w:p>
        </w:tc>
        <w:tc>
          <w:tcPr>
            <w:tcW w:type="dxa" w:w="234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Compliance Contact</w:t>
            </w:r>
          </w:p>
        </w:tc>
        <w:tc>
          <w:tcPr>
            <w:tcW w:type="dxa" w:w="2340"/>
            <w:gridSpan w:val="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Support Lead</w:t>
            </w:r>
          </w:p>
        </w:tc>
      </w:tr>
      <w:tr>
        <w:tc>
          <w:tcPr>
            <w:tcW w:type="dxa" w:w="23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Name:
Signature:
Version:
Date:</w:t>
            </w:r>
          </w:p>
        </w:tc>
        <w:tc>
          <w:tcPr>
            <w:tcW w:type="dxa" w:w="23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Name:
Signature:
Version:
Date:</w:t>
            </w:r>
          </w:p>
        </w:tc>
        <w:tc>
          <w:tcPr>
            <w:tcW w:type="dxa" w:w="23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Name:
Signature:
Version:
Date:</w:t>
            </w:r>
          </w:p>
        </w:tc>
        <w:tc>
          <w:tcPr>
            <w:tcW w:type="dxa" w:w="23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Name:
Signature:
Version:
Date:</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F766E" w:sz="6" w:space="1"/>
      </w:pBdr>
      <w:tabs>
        <w:tab w:val="right" w:pos="9360"/>
      </w:tabs>
      <w:spacing w:after="0" w:before="120"/>
    </w:pPr>
    <w:r>
      <w:rPr>
        <w:rFonts w:ascii="Arial" w:cs="Arial" w:eastAsia="Arial" w:hAnsi="Arial"/>
        <w:color w:val="666666"/>
        <w:sz w:val="16"/>
        <w:szCs w:val="16"/>
      </w:rPr>
      <w:t xml:space="preserve">John A. Bowman  |  Supportability Engineering  |  Confidential</w:t>
    </w:r>
    <w:r>
      <w:rPr>
        <w:rFonts w:ascii="Arial" w:cs="Arial" w:eastAsia="Arial" w:hAnsi="Arial"/>
        <w:sz w:val="16"/>
        <w:szCs w:val="16"/>
      </w:rPr>
      <w:t xml:space="preserve">	</w:t>
    </w:r>
    <w:r>
      <w:rPr>
        <w:rFonts w:ascii="Arial" w:cs="Arial" w:eastAsia="Arial" w:hAnsi="Arial"/>
        <w:color w:val="666666"/>
        <w:sz w:val="16"/>
        <w:szCs w:val="16"/>
      </w:rPr>
      <w:t xml:space="preserve">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766E" w:sz="6" w:space="1"/>
      </w:pBdr>
      <w:tabs>
        <w:tab w:val="right" w:pos="9360"/>
      </w:tabs>
      <w:spacing w:after="120" w:before="0"/>
    </w:pPr>
    <w:r>
      <w:rPr>
        <w:rFonts w:ascii="Arial" w:cs="Arial" w:eastAsia="Arial" w:hAnsi="Arial"/>
        <w:b/>
        <w:bCs/>
        <w:color w:val="0F2340"/>
        <w:sz w:val="18"/>
        <w:szCs w:val="18"/>
      </w:rPr>
      <w:t xml:space="preserve">Supportability Engineering  |  Compliance Feature Specification</w:t>
    </w:r>
    <w:r>
      <w:rPr>
        <w:rFonts w:ascii="Arial" w:cs="Arial" w:eastAsia="Arial" w:hAnsi="Arial"/>
        <w:sz w:val="18"/>
        <w:szCs w:val="18"/>
      </w:rPr>
      <w:t xml:space="preserve">	</w:t>
    </w:r>
    <w:r>
      <w:rPr>
        <w:rFonts w:ascii="Arial" w:cs="Arial" w:eastAsia="Arial" w:hAnsi="Arial"/>
        <w:color w:val="666666"/>
        <w:sz w:val="18"/>
        <w:szCs w:val="18"/>
      </w:rPr>
      <w:t xml:space="preserve">Vol. 5 Baseline — Doc 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0F2340"/>
      <w:sz w:val="26"/>
      <w:szCs w:val="26"/>
    </w:rPr>
  </w:style>
  <w:style w:type="paragraph" w:styleId="Heading2">
    <w:name w:val="Heading 2"/>
    <w:basedOn w:val="Normal"/>
    <w:next w:val="Normal"/>
    <w:qFormat/>
    <w:pPr>
      <w:spacing w:after="80" w:before="180"/>
      <w:outlineLvl w:val="1"/>
    </w:pPr>
    <w:rPr>
      <w:rFonts w:ascii="Arial" w:cs="Arial" w:eastAsia="Arial" w:hAnsi="Arial"/>
      <w:b/>
      <w:bCs/>
      <w:color w:val="0F766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2026-05-24T21:24:36.175Z</dcterms:created>
  <dcterms:modified xsi:type="dcterms:W3CDTF">2026-05-24T21:24:36.175Z</dcterms:modified>
</cp:coreProperties>
</file>

<file path=docProps/custom.xml><?xml version="1.0" encoding="utf-8"?>
<Properties xmlns="http://schemas.openxmlformats.org/officeDocument/2006/custom-properties" xmlns:vt="http://schemas.openxmlformats.org/officeDocument/2006/docPropsVTypes"/>
</file>