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DCLT Communications Strategy</w:t>
      </w:r>
    </w:p>
    <w:p>
      <w:pPr>
        <w:spacing w:after="300"/>
        <w:jc w:val="center"/>
      </w:pPr>
      <w:r>
        <w:rPr>
          <w:i/>
          <w:iCs/>
          <w:color w:val="4A4A4A"/>
          <w:sz w:val="24"/>
          <w:szCs w:val="24"/>
        </w:rPr>
        <w:t xml:space="preserve">2025 Review &amp; 2026–2029 Roadmap</w:t>
      </w:r>
    </w:p>
    <w:p>
      <w:pPr>
        <w:pStyle w:val="Heading1"/>
      </w:pPr>
      <w:r>
        <w:t xml:space="preserve">2025: Foundation Year</w:t>
      </w:r>
    </w:p>
    <w:p>
      <w:pPr>
        <w:spacing w:after="200"/>
      </w:pPr>
      <w:r>
        <w:rPr>
          <w:sz w:val="22"/>
          <w:szCs w:val="22"/>
        </w:rPr>
        <w:t xml:space="preserve">First year focused on research, relationship-building, and infrastructure development. Visible deliverables (brand, website) are in progress; groundwork is laid for 2026 launch.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E8" w:val="clear"/>
          </w:tcPr>
          <w:p>
            <w:pPr>
              <w:spacing w:before="100" w:after="100"/>
            </w:pPr>
            <w:r>
              <w:rPr>
                <w:b/>
                <w:bCs/>
                <w:color w:val="2D5A3D"/>
                <w:sz w:val="22"/>
                <w:szCs w:val="22"/>
              </w:rPr>
              <w:t xml:space="preserve">Completed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8B6914"/>
                <w:sz w:val="22"/>
                <w:szCs w:val="22"/>
              </w:rPr>
              <w:t xml:space="preserve">In Progress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/>
            </w:pPr>
            <w:r>
              <w:rPr>
                <w:sz w:val="20"/>
                <w:szCs w:val="20"/>
              </w:rPr>
              <w:t xml:space="preserve">• Baseline public perception survey</w:t>
            </w:r>
          </w:p>
          <w:p>
            <w:r>
              <w:rPr>
                <w:sz w:val="20"/>
                <w:szCs w:val="20"/>
              </w:rPr>
              <w:t xml:space="preserve">• Brand focus groups (community input)</w:t>
            </w:r>
          </w:p>
          <w:p>
            <w:r>
              <w:rPr>
                <w:sz w:val="20"/>
                <w:szCs w:val="20"/>
              </w:rPr>
              <w:t xml:space="preserve">• Communications strategy documentation</w:t>
            </w:r>
          </w:p>
          <w:p>
            <w:r>
              <w:rPr>
                <w:sz w:val="20"/>
                <w:szCs w:val="20"/>
              </w:rPr>
              <w:t xml:space="preserve">• Audience segmentation &amp; personas</w:t>
            </w:r>
          </w:p>
          <w:p>
            <w:r>
              <w:rPr>
                <w:sz w:val="20"/>
                <w:szCs w:val="20"/>
              </w:rPr>
              <w:t xml:space="preserve">• Preserve Explorer (near-complete)</w:t>
            </w:r>
          </w:p>
          <w:p>
            <w:r>
              <w:rPr>
                <w:sz w:val="20"/>
                <w:szCs w:val="20"/>
              </w:rPr>
              <w:t xml:space="preserve">• Print appeals &amp; playbill/newspaper ads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• Development pipeline &amp; best practices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/>
            </w:pPr>
            <w:r>
              <w:rPr>
                <w:sz w:val="20"/>
                <w:szCs w:val="20"/>
              </w:rPr>
              <w:t xml:space="preserve">• Brand identity (logo concepts ready)</w:t>
            </w:r>
          </w:p>
          <w:p>
            <w:r>
              <w:rPr>
                <w:sz w:val="20"/>
                <w:szCs w:val="20"/>
              </w:rPr>
              <w:t xml:space="preserve">• Website architecture &amp; custom blocks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• New donation page flow</w:t>
            </w:r>
          </w:p>
        </w:tc>
      </w:tr>
    </w:tbl>
    <w:p>
      <w:pPr>
        <w:pStyle w:val="Heading1"/>
      </w:pPr>
      <w:r>
        <w:t xml:space="preserve">2026–2029: Strategic Phases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3D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3D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2027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3D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2028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3D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2029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2D5A3D"/>
                <w:sz w:val="20"/>
                <w:szCs w:val="20"/>
              </w:rPr>
              <w:t xml:space="preserve">Brand &amp; Website Launch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2D5A3D"/>
                <w:sz w:val="20"/>
                <w:szCs w:val="20"/>
              </w:rPr>
              <w:t xml:space="preserve">Engagement &amp; Storytelling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2D5A3D"/>
                <w:sz w:val="20"/>
                <w:szCs w:val="20"/>
              </w:rPr>
              <w:t xml:space="preserve">Community Integration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2D5A3D"/>
                <w:sz w:val="20"/>
                <w:szCs w:val="20"/>
              </w:rPr>
              <w:t xml:space="preserve">Scale &amp; Evaluate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/>
            </w:pPr>
            <w:r>
              <w:rPr>
                <w:sz w:val="18"/>
                <w:szCs w:val="18"/>
              </w:rPr>
              <w:t xml:space="preserve">• Logo &amp; visual identity</w:t>
            </w:r>
          </w:p>
          <w:p>
            <w:r>
              <w:rPr>
                <w:sz w:val="18"/>
                <w:szCs w:val="18"/>
              </w:rPr>
              <w:t xml:space="preserve">• Website launch</w:t>
            </w:r>
          </w:p>
          <w:p>
            <w:r>
              <w:rPr>
                <w:sz w:val="18"/>
                <w:szCs w:val="18"/>
              </w:rPr>
              <w:t xml:space="preserve">• Design system</w:t>
            </w:r>
          </w:p>
          <w:p>
            <w:r>
              <w:rPr>
                <w:sz w:val="18"/>
                <w:szCs w:val="18"/>
              </w:rPr>
              <w:t xml:space="preserve">• Email automation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• Donation flow live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/>
            </w:pPr>
            <w:r>
              <w:rPr>
                <w:sz w:val="18"/>
                <w:szCs w:val="18"/>
              </w:rPr>
              <w:t xml:space="preserve">• "Humans of DCLT"</w:t>
            </w:r>
          </w:p>
          <w:p>
            <w:r>
              <w:rPr>
                <w:sz w:val="18"/>
                <w:szCs w:val="18"/>
              </w:rPr>
              <w:t xml:space="preserve">• Working lands stories</w:t>
            </w:r>
          </w:p>
          <w:p>
            <w:r>
              <w:rPr>
                <w:sz w:val="18"/>
                <w:szCs w:val="18"/>
              </w:rPr>
              <w:t xml:space="preserve">• Legacy giving program</w:t>
            </w:r>
          </w:p>
          <w:p>
            <w:r>
              <w:rPr>
                <w:sz w:val="18"/>
                <w:szCs w:val="18"/>
              </w:rPr>
              <w:t xml:space="preserve">• Preserve signage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• Donor segmentation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/>
            </w:pPr>
            <w:r>
              <w:rPr>
                <w:sz w:val="18"/>
                <w:szCs w:val="18"/>
              </w:rPr>
              <w:t xml:space="preserve">• IDEA initiatives</w:t>
            </w:r>
          </w:p>
          <w:p>
            <w:r>
              <w:rPr>
                <w:sz w:val="18"/>
                <w:szCs w:val="18"/>
              </w:rPr>
              <w:t xml:space="preserve">• Educational programs</w:t>
            </w:r>
          </w:p>
          <w:p>
            <w:r>
              <w:rPr>
                <w:sz w:val="18"/>
                <w:szCs w:val="18"/>
              </w:rPr>
              <w:t xml:space="preserve">• Partner expansion</w:t>
            </w:r>
          </w:p>
          <w:p>
            <w:r>
              <w:rPr>
                <w:sz w:val="18"/>
                <w:szCs w:val="18"/>
              </w:rPr>
              <w:t xml:space="preserve">• Interactive content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• Conservation Summit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/>
            </w:pPr>
            <w:r>
              <w:rPr>
                <w:sz w:val="18"/>
                <w:szCs w:val="18"/>
              </w:rPr>
              <w:t xml:space="preserve">• Impact assessment</w:t>
            </w:r>
          </w:p>
          <w:p>
            <w:r>
              <w:rPr>
                <w:sz w:val="18"/>
                <w:szCs w:val="18"/>
              </w:rPr>
              <w:t xml:space="preserve">• 5-year campaign</w:t>
            </w:r>
          </w:p>
          <w:p>
            <w:r>
              <w:rPr>
                <w:sz w:val="18"/>
                <w:szCs w:val="18"/>
              </w:rPr>
              <w:t xml:space="preserve">• Donor retention push</w:t>
            </w:r>
          </w:p>
          <w:p>
            <w:r>
              <w:rPr>
                <w:sz w:val="18"/>
                <w:szCs w:val="18"/>
              </w:rPr>
              <w:t xml:space="preserve">• Next strategy plan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• Final evaluation</w:t>
            </w:r>
          </w:p>
        </w:tc>
      </w:tr>
    </w:tbl>
    <w:p>
      <w:pPr>
        <w:pStyle w:val="Heading1"/>
      </w:pPr>
      <w:r>
        <w:t xml:space="preserve">2026 Priority: Ship the Foundation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Everything else depends on brand and website. These are the proof-of-work that earns trust for future initiatives.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</w:tcPr>
          <w:p>
            <w:pPr>
              <w:spacing w:before="100"/>
            </w:pPr>
            <w:r>
              <w:rPr>
                <w:b/>
                <w:bCs/>
                <w:color w:val="2D5A3D"/>
                <w:sz w:val="22"/>
                <w:szCs w:val="22"/>
              </w:rPr>
              <w:t xml:space="preserve">Brand Launch</w:t>
            </w:r>
          </w:p>
          <w:p>
            <w:r>
              <w:rPr>
                <w:sz w:val="20"/>
                <w:szCs w:val="20"/>
              </w:rPr>
              <w:t xml:space="preserve">Target: Q1 (Board presentation March)</w:t>
            </w:r>
          </w:p>
          <w:p>
            <w:r>
              <w:rPr>
                <w:sz w:val="20"/>
                <w:szCs w:val="20"/>
              </w:rPr>
              <w:t xml:space="preserve">Logo + primary palette + typography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Design system buildout to follow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</w:tcPr>
          <w:p>
            <w:pPr>
              <w:spacing w:before="100"/>
            </w:pPr>
            <w:r>
              <w:rPr>
                <w:b/>
                <w:bCs/>
                <w:color w:val="2D5A3D"/>
                <w:sz w:val="22"/>
                <w:szCs w:val="22"/>
              </w:rPr>
              <w:t xml:space="preserve">Website Launch</w:t>
            </w:r>
          </w:p>
          <w:p>
            <w:r>
              <w:rPr>
                <w:sz w:val="20"/>
                <w:szCs w:val="20"/>
              </w:rPr>
              <w:t xml:space="preserve">Target: Q2–Q3</w:t>
            </w:r>
          </w:p>
          <w:p>
            <w:r>
              <w:rPr>
                <w:sz w:val="20"/>
                <w:szCs w:val="20"/>
              </w:rPr>
              <w:t xml:space="preserve">New architecture, improved UX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Donation flow, Preserve Explorer, SEO</w:t>
            </w:r>
          </w:p>
        </w:tc>
      </w:tr>
    </w:tbl>
    <w:p>
      <w:pPr>
        <w:spacing w:before="400"/>
        <w:jc w:val="center"/>
      </w:pPr>
      <w:r>
        <w:rPr>
          <w:i/>
          <w:iCs/>
          <w:color w:val="888888"/>
          <w:sz w:val="18"/>
          <w:szCs w:val="18"/>
        </w:rPr>
        <w:t xml:space="preserve">Door County Land Trust  •  Prepared December 2025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20"/>
      <w:jc w:val="center"/>
    </w:pPr>
    <w:rPr>
      <w:rFonts w:ascii="Georgia" w:cs="Georgia" w:eastAsia="Georgia" w:hAnsi="Georgia"/>
      <w:b/>
      <w:bCs/>
      <w:color w:val="2D5A3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Georgia" w:cs="Georgia" w:eastAsia="Georgia" w:hAnsi="Georgia"/>
      <w:b/>
      <w:bCs/>
      <w:color w:val="2D5A3D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Georgia" w:cs="Georgia" w:eastAsia="Georgia" w:hAnsi="Georgia"/>
      <w:b/>
      <w:bCs/>
      <w:color w:val="4A4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2025-12-31T16:11:03.752Z</dcterms:created>
  <dcterms:modified xsi:type="dcterms:W3CDTF">2025-12-31T16:11:03.753Z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