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60"/>
      </w:pPr>
    </w:p>
    <w:p>
      <w:pPr>
        <w:spacing w:after="280"/>
        <w:jc w:val="center"/>
      </w:pPr>
      <w:r>
        <w:rPr>
          <w:rFonts w:ascii="맑은 고딕" w:hAnsi="맑은 고딕" w:eastAsia="맑은 고딕" w:cs="맑은 고딕"/>
          <w:b/>
          <w:color w:val="0E8792"/>
          <w:sz w:val="19"/>
        </w:rPr>
        <w:t>SYSTEM INTRODUCTION  |  2026.08</w:t>
      </w:r>
    </w:p>
    <w:p>
      <w:pPr>
        <w:pStyle w:val="Title"/>
        <w:jc w:val="center"/>
      </w:pPr>
      <w:r>
        <w:rPr>
          <w:rFonts w:ascii="맑은 고딕" w:hAnsi="맑은 고딕" w:eastAsia="맑은 고딕" w:cs="맑은 고딕"/>
          <w:b/>
          <w:color w:val="0B2E52"/>
          <w:sz w:val="56"/>
        </w:rPr>
        <w:t>부산 관광경제 활력 분석</w:t>
        <w:br/>
        <w:t>대시보드 기능 소개서</w:t>
      </w:r>
    </w:p>
    <w:p>
      <w:pPr>
        <w:pStyle w:val="Subtitle"/>
        <w:jc w:val="center"/>
      </w:pPr>
      <w:r>
        <w:rPr>
          <w:rFonts w:ascii="맑은 고딕" w:hAnsi="맑은 고딕" w:eastAsia="맑은 고딕" w:cs="맑은 고딕"/>
          <w:color w:val="667085"/>
          <w:sz w:val="27"/>
        </w:rPr>
        <w:t>서부산 체류전환·숙박공급·민간투자·빈집 분석 시스템</w:t>
      </w:r>
    </w:p>
    <w:p>
      <w:pPr>
        <w:spacing w:before="240" w:after="600"/>
        <w:pBdr>
          <w:bottom w:val="single" w:sz="22" w:space="1" w:color="1769E0"/>
        </w:pBdr>
      </w:pPr>
    </w:p>
    <w:p>
      <w:pPr>
        <w:spacing w:after="1080" w:line="324" w:lineRule="auto"/>
        <w:jc w:val="center"/>
      </w:pPr>
      <w:r>
        <w:rPr>
          <w:rFonts w:ascii="맑은 고딕" w:hAnsi="맑은 고딕" w:eastAsia="맑은 고딕" w:cs="맑은 고딕"/>
          <w:color w:val="101828"/>
          <w:sz w:val="23"/>
        </w:rPr>
        <w:t>관광수요가 서부산의 체류·숙박·소비로 전환되지 못하는 구조를</w:t>
        <w:br/>
        <w:t>동서 비교, 공간분석, 빈집 연속필지군과 AI 정책해석으로 진단합니다.</w:t>
      </w:r>
    </w:p>
    <w:p>
      <w:pPr>
        <w:spacing w:after="120"/>
        <w:jc w:val="center"/>
      </w:pPr>
      <w:r>
        <w:rPr>
          <w:rFonts w:ascii="맑은 고딕" w:hAnsi="맑은 고딕" w:eastAsia="맑은 고딕" w:cs="맑은 고딕"/>
          <w:b/>
          <w:color w:val="667085"/>
          <w:sz w:val="19"/>
        </w:rPr>
        <w:t>운영 기준일 2026.08.21  ·  기능 배포 완료 2026.08.23</w:t>
      </w:r>
    </w:p>
    <w:p>
      <w:pPr>
        <w:jc w:val="center"/>
      </w:pPr>
      <w:hyperlink r:id="rId11">
        <w:r>
          <w:rPr>
            <w:rFonts w:ascii="맑은 고딕" w:hAnsi="맑은 고딕" w:eastAsia="맑은 고딕" w:cs="맑은 고딕"/>
            <w:color w:val="1769E0"/>
            <w:u w:val="single"/>
          </w:rPr>
          <w:t>https://busanproduct.co.kr/tourism/</w:t>
        </w:r>
      </w:hyperlink>
    </w:p>
    <w:p>
      <w:r>
        <w:br w:type="page"/>
      </w:r>
    </w:p>
    <w:p>
      <w:pPr>
        <w:spacing w:before="200" w:after="40"/>
      </w:pPr>
      <w:r>
        <w:rPr>
          <w:rFonts w:ascii="맑은 고딕" w:hAnsi="맑은 고딕" w:eastAsia="맑은 고딕" w:cs="맑은 고딕"/>
          <w:b/>
          <w:color w:val="1769E0"/>
          <w:sz w:val="17"/>
        </w:rPr>
        <w:t>EXECUTIVE SUMMARY</w:t>
      </w:r>
    </w:p>
    <w:p>
      <w:pPr>
        <w:pStyle w:val="Heading1"/>
        <w:keepNext/>
      </w:pPr>
      <w:r>
        <w:rPr>
          <w:rFonts w:ascii="맑은 고딕" w:hAnsi="맑은 고딕" w:eastAsia="맑은 고딕" w:cs="맑은 고딕"/>
        </w:rPr>
        <w:t>1. 시스템 소개</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2FF"/>
          </w:tcPr>
          <w:p>
            <w:pPr>
              <w:spacing w:before="60" w:after="60" w:line="288" w:lineRule="auto"/>
            </w:pPr>
            <w:r>
              <w:rPr>
                <w:rFonts w:ascii="맑은 고딕" w:hAnsi="맑은 고딕" w:eastAsia="맑은 고딕" w:cs="맑은 고딕"/>
                <w:b/>
                <w:color w:val="1769E0"/>
                <w:sz w:val="20"/>
              </w:rPr>
              <w:t xml:space="preserve">핵심 목적  </w:t>
            </w:r>
            <w:r>
              <w:rPr>
                <w:rFonts w:ascii="맑은 고딕" w:hAnsi="맑은 고딕" w:eastAsia="맑은 고딕" w:cs="맑은 고딕"/>
                <w:color w:val="101828"/>
                <w:sz w:val="20"/>
              </w:rPr>
              <w:t>관광객 수를 늘리는 데 그치지 않고, 부산에 이미 존재하는 관광수요를 서부산의 체류·숙박·소비와 민간투자로 전환할 정책 근거를 제공합니다.</w:t>
            </w:r>
          </w:p>
        </w:tc>
      </w:tr>
    </w:tbl>
    <w:p>
      <w:pPr>
        <w:spacing w:after="80"/>
      </w:pPr>
    </w:p>
    <w:p>
      <w:pPr>
        <w:spacing w:after="120" w:line="300" w:lineRule="auto"/>
      </w:pPr>
      <w:r>
        <w:rPr>
          <w:rFonts w:ascii="맑은 고딕" w:hAnsi="맑은 고딕" w:eastAsia="맑은 고딕" w:cs="맑은 고딕"/>
          <w:color w:val="101828"/>
          <w:sz w:val="21"/>
        </w:rPr>
        <w:t>부산 관광경제 활력 분석 대시보드는 숙박업 인허가, 객실, 건축물 연령, 관광수요, 관광소비 상대지표, 공간좌표, 빈집과 지적필지 정보를 하나의 발행본으로 결합한 내부 정책지원 시스템입니다. 권역·자치구·동·거점·필지 수준을 단계적으로 내려가며 공급격차와 투자검토 우선지역을 확인할 수 있습니다.</w:t>
      </w:r>
    </w:p>
    <w:p>
      <w:pPr>
        <w:pStyle w:val="Heading2"/>
        <w:keepNext/>
      </w:pPr>
      <w:r>
        <w:rPr>
          <w:rFonts w:ascii="맑은 고딕" w:hAnsi="맑은 고딕" w:eastAsia="맑은 고딕" w:cs="맑은 고딕"/>
        </w:rPr>
        <w:t>시스템이 답하는 세 가지 정책질문</w:t>
      </w:r>
    </w:p>
    <w:p>
      <w:pPr>
        <w:spacing w:after="80" w:line="300" w:lineRule="auto"/>
        <w:ind w:left="540" w:hanging="271"/>
      </w:pPr>
      <w:r>
        <w:rPr>
          <w:rFonts w:ascii="맑은 고딕" w:hAnsi="맑은 고딕" w:eastAsia="맑은 고딕" w:cs="맑은 고딕"/>
          <w:b/>
          <w:color w:val="101828"/>
          <w:sz w:val="20"/>
        </w:rPr>
        <w:t xml:space="preserve">1.  </w:t>
      </w:r>
      <w:r>
        <w:rPr>
          <w:rFonts w:ascii="맑은 고딕" w:hAnsi="맑은 고딕" w:eastAsia="맑은 고딕" w:cs="맑은 고딕"/>
          <w:color w:val="101828"/>
          <w:sz w:val="20"/>
        </w:rPr>
        <w:t>관광 종합현황: 방문수요와 소비가 어디에서 얼마나 발생하며 숙박으로 연결될 여지가 있는가?</w:t>
      </w:r>
    </w:p>
    <w:p>
      <w:pPr>
        <w:spacing w:after="80" w:line="300" w:lineRule="auto"/>
        <w:ind w:left="540" w:hanging="271"/>
      </w:pPr>
      <w:r>
        <w:rPr>
          <w:rFonts w:ascii="맑은 고딕" w:hAnsi="맑은 고딕" w:eastAsia="맑은 고딕" w:cs="맑은 고딕"/>
          <w:b/>
          <w:color w:val="101828"/>
          <w:sz w:val="20"/>
        </w:rPr>
        <w:t xml:space="preserve">2.  </w:t>
      </w:r>
      <w:r>
        <w:rPr>
          <w:rFonts w:ascii="맑은 고딕" w:hAnsi="맑은 고딕" w:eastAsia="맑은 고딕" w:cs="맑은 고딕"/>
          <w:color w:val="101828"/>
          <w:sz w:val="20"/>
        </w:rPr>
        <w:t>동서 공급격차: 시설 수, 객실, 관광숙박, 노후도와 신규등록이 수요에 비해 어느 지역에서 부족한가?</w:t>
      </w:r>
    </w:p>
    <w:p>
      <w:pPr>
        <w:spacing w:after="80" w:line="300" w:lineRule="auto"/>
        <w:ind w:left="540" w:hanging="271"/>
      </w:pPr>
      <w:r>
        <w:rPr>
          <w:rFonts w:ascii="맑은 고딕" w:hAnsi="맑은 고딕" w:eastAsia="맑은 고딕" w:cs="맑은 고딕"/>
          <w:b/>
          <w:color w:val="101828"/>
          <w:sz w:val="20"/>
        </w:rPr>
        <w:t xml:space="preserve">3.  </w:t>
      </w:r>
      <w:r>
        <w:rPr>
          <w:rFonts w:ascii="맑은 고딕" w:hAnsi="맑은 고딕" w:eastAsia="맑은 고딕" w:cs="맑은 고딕"/>
          <w:color w:val="101828"/>
          <w:sz w:val="20"/>
        </w:rPr>
        <w:t>민간투자 검토: 신규공급, 리모델링, 빈집 전환과 콘텐츠 투자를 어느 거점에서 어떤 순서로 검토할 것인가?</w:t>
      </w:r>
    </w:p>
    <w:p>
      <w:pPr>
        <w:pStyle w:val="Heading2"/>
        <w:keepNext/>
      </w:pPr>
      <w:r>
        <w:rPr>
          <w:rFonts w:ascii="맑은 고딕" w:hAnsi="맑은 고딕" w:eastAsia="맑은 고딕" w:cs="맑은 고딕"/>
        </w:rPr>
        <w:t>주요 이용자</w:t>
      </w:r>
    </w:p>
    <w:p>
      <w:pPr>
        <w:pStyle w:val="ListBullet"/>
        <w:spacing w:after="80" w:line="300" w:lineRule="auto"/>
        <w:ind w:left="540" w:hanging="271"/>
      </w:pPr>
      <w:r>
        <w:rPr>
          <w:rFonts w:ascii="맑은 고딕" w:hAnsi="맑은 고딕" w:eastAsia="맑은 고딕" w:cs="맑은 고딕"/>
          <w:color w:val="101828"/>
          <w:sz w:val="20"/>
        </w:rPr>
        <w:t>부산광역시·구군 관광정책, 건축, 도시재생, 투자유치 담당자</w:t>
      </w:r>
    </w:p>
    <w:p>
      <w:pPr>
        <w:pStyle w:val="ListBullet"/>
        <w:spacing w:after="80" w:line="300" w:lineRule="auto"/>
        <w:ind w:left="540" w:hanging="271"/>
      </w:pPr>
      <w:r>
        <w:rPr>
          <w:rFonts w:ascii="맑은 고딕" w:hAnsi="맑은 고딕" w:eastAsia="맑은 고딕" w:cs="맑은 고딕"/>
          <w:color w:val="101828"/>
          <w:sz w:val="20"/>
        </w:rPr>
        <w:t>숙박시설 개선·관광숙박 공급·빈집 전환 사업 기획자</w:t>
      </w:r>
    </w:p>
    <w:p>
      <w:pPr>
        <w:pStyle w:val="ListBullet"/>
        <w:spacing w:after="80" w:line="300" w:lineRule="auto"/>
        <w:ind w:left="540" w:hanging="271"/>
      </w:pPr>
      <w:r>
        <w:rPr>
          <w:rFonts w:ascii="맑은 고딕" w:hAnsi="맑은 고딕" w:eastAsia="맑은 고딕" w:cs="맑은 고딕"/>
          <w:color w:val="101828"/>
          <w:sz w:val="20"/>
        </w:rPr>
        <w:t>정책보고서, 의회·회의자료와 민간투자 설명자료 작성자</w:t>
      </w:r>
    </w:p>
    <w:p>
      <w:pPr>
        <w:spacing w:before="200" w:after="40"/>
      </w:pPr>
      <w:r>
        <w:rPr>
          <w:rFonts w:ascii="맑은 고딕" w:hAnsi="맑은 고딕" w:eastAsia="맑은 고딕" w:cs="맑은 고딕"/>
          <w:b/>
          <w:color w:val="1769E0"/>
          <w:sz w:val="17"/>
        </w:rPr>
        <w:t>OPERATING SCOPE</w:t>
      </w:r>
    </w:p>
    <w:p>
      <w:pPr>
        <w:pStyle w:val="Heading1"/>
        <w:keepNext/>
      </w:pPr>
      <w:r>
        <w:rPr>
          <w:rFonts w:ascii="맑은 고딕" w:hAnsi="맑은 고딕" w:eastAsia="맑은 고딕" w:cs="맑은 고딕"/>
        </w:rPr>
        <w:t>2. 운영 범위와 핵심 현황</w:t>
      </w:r>
    </w:p>
    <w:tbl>
      <w:tblPr>
        <w:tblStyle w:val="TableGrid"/>
        <w:tblW w:type="dxa" w:w="9360"/>
        <w:jc w:val="left"/>
        <w:tblLayout w:type="fixed"/>
        <w:tblLook w:firstColumn="1" w:firstRow="1" w:lastColumn="0" w:lastRow="0" w:noHBand="0" w:noVBand="1" w:val="04A0"/>
        <w:tblInd w:w="120" w:type="dxa"/>
      </w:tblPr>
      <w:tblGrid>
        <w:gridCol w:w="2920"/>
        <w:gridCol w:w="2147"/>
        <w:gridCol w:w="2147"/>
        <w:gridCol w:w="2146"/>
      </w:tblGrid>
      <w:tr>
        <w:trPr>
          <w:tblHeader w:val="true"/>
        </w:trPr>
        <w:tc>
          <w:tcPr>
            <w:tcW w:type="dxa" w:w="292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구분</w:t>
            </w:r>
          </w:p>
        </w:tc>
        <w:tc>
          <w:tcPr>
            <w:tcW w:type="dxa" w:w="2147"/>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서부산</w:t>
            </w:r>
          </w:p>
        </w:tc>
        <w:tc>
          <w:tcPr>
            <w:tcW w:type="dxa" w:w="2147"/>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동부산</w:t>
            </w:r>
          </w:p>
        </w:tc>
        <w:tc>
          <w:tcPr>
            <w:tcW w:type="dxa" w:w="2146"/>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기타 부산</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숙박업체</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431개소</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1,377개소</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1,295개소</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확인 객실</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10,442실</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23,161실</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34,346실</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일평균 방문수요</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371,553명</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462,650명</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980,112명</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객실 100실당 방문수요</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3,558.3</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1,997.5</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2,853.6</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관광숙박 등록시설 비율</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0.7%</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11.3%</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3.7%</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건축연령 20년 이상</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86.6%</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72.0%</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82.9%</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2021년 이후 숙박업 등록</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8.4%</w:t>
            </w:r>
          </w:p>
        </w:tc>
        <w:tc>
          <w:tcPr>
            <w:tcW w:type="dxa" w:w="2147"/>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59.6%</w:t>
            </w:r>
          </w:p>
        </w:tc>
        <w:tc>
          <w:tcPr>
            <w:tcW w:type="dxa" w:w="2146"/>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25.5%</w:t>
            </w:r>
          </w:p>
        </w:tc>
      </w:tr>
    </w:tbl>
    <w:p>
      <w:pPr>
        <w:spacing w:before="80" w:after="160"/>
      </w:pPr>
      <w:r>
        <w:rPr>
          <w:rFonts w:ascii="맑은 고딕" w:hAnsi="맑은 고딕" w:eastAsia="맑은 고딕" w:cs="맑은 고딕"/>
          <w:color w:val="667085"/>
          <w:sz w:val="16"/>
        </w:rPr>
        <w:t>자료: 운영 DB 발행본, 기준일 2026.08.21. 방문수요는 외지인+외국인 일평균.</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8F6F7"/>
          </w:tcPr>
          <w:p>
            <w:pPr>
              <w:spacing w:before="60" w:after="60" w:line="288" w:lineRule="auto"/>
            </w:pPr>
            <w:r>
              <w:rPr>
                <w:rFonts w:ascii="맑은 고딕" w:hAnsi="맑은 고딕" w:eastAsia="맑은 고딕" w:cs="맑은 고딕"/>
                <w:b/>
                <w:color w:val="1769E0"/>
                <w:sz w:val="20"/>
              </w:rPr>
              <w:t xml:space="preserve">해석  </w:t>
            </w:r>
            <w:r>
              <w:rPr>
                <w:rFonts w:ascii="맑은 고딕" w:hAnsi="맑은 고딕" w:eastAsia="맑은 고딕" w:cs="맑은 고딕"/>
                <w:color w:val="101828"/>
                <w:sz w:val="20"/>
              </w:rPr>
              <w:t>서부산의 일평균 방문수요는 동부산의 80.3%이지만 숙박업체 수는 31.3%, 관광숙박 등록시설 비율은 6.2% 수준입니다. 수요 자체보다 체류전환을 담당할 공급구조의 격차가 핵심 정책문제로 나타납니다.</w:t>
            </w:r>
          </w:p>
        </w:tc>
      </w:tr>
    </w:tbl>
    <w:p>
      <w:pPr>
        <w:spacing w:after="80"/>
      </w:pPr>
    </w:p>
    <w:p>
      <w:pPr>
        <w:spacing w:before="200" w:after="40"/>
      </w:pPr>
      <w:r>
        <w:rPr>
          <w:rFonts w:ascii="맑은 고딕" w:hAnsi="맑은 고딕" w:eastAsia="맑은 고딕" w:cs="맑은 고딕"/>
          <w:b/>
          <w:color w:val="1769E0"/>
          <w:sz w:val="17"/>
        </w:rPr>
        <w:t>SYSTEM ARCHITECTURE</w:t>
      </w:r>
    </w:p>
    <w:p>
      <w:pPr>
        <w:pStyle w:val="Heading1"/>
        <w:keepNext/>
      </w:pPr>
      <w:r>
        <w:rPr>
          <w:rFonts w:ascii="맑은 고딕" w:hAnsi="맑은 고딕" w:eastAsia="맑은 고딕" w:cs="맑은 고딕"/>
        </w:rPr>
        <w:t>3. 데이터·분석·게시 구조</w:t>
      </w:r>
    </w:p>
    <w:p>
      <w:pPr>
        <w:spacing w:after="120" w:line="300" w:lineRule="auto"/>
      </w:pPr>
      <w:r>
        <w:rPr>
          <w:rFonts w:ascii="맑은 고딕" w:hAnsi="맑은 고딕" w:eastAsia="맑은 고딕" w:cs="맑은 고딕"/>
          <w:color w:val="101828"/>
          <w:sz w:val="21"/>
        </w:rPr>
        <w:t>운영 DB는 원천 수집부터 화면 게시까지 실행 계보와 품질검사를 유지합니다. 검증되지 않은 실행은 현재 발행본을 교체하지 않으며, 지도와 AI 분석은 같은 발행본 ID를 사용합니다.</w:t>
      </w:r>
    </w:p>
    <w:tbl>
      <w:tblPr>
        <w:tblStyle w:val="TableGrid"/>
        <w:tblW w:type="dxa" w:w="9360"/>
        <w:jc w:val="left"/>
        <w:tblLayout w:type="fixed"/>
        <w:tblLook w:firstColumn="1" w:firstRow="1" w:lastColumn="0" w:lastRow="0" w:noHBand="0" w:noVBand="1" w:val="04A0"/>
        <w:tblInd w:w="120" w:type="dxa"/>
      </w:tblPr>
      <w:tblGrid>
        <w:gridCol w:w="850"/>
        <w:gridCol w:w="1900"/>
        <w:gridCol w:w="6610"/>
      </w:tblGrid>
      <w:tr>
        <w:trPr>
          <w:tblHeader w:val="true"/>
        </w:trPr>
        <w:tc>
          <w:tcPr>
            <w:tcW w:type="dxa" w:w="85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단계</w:t>
            </w:r>
          </w:p>
        </w:tc>
        <w:tc>
          <w:tcPr>
            <w:tcW w:type="dxa" w:w="190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기능</w:t>
            </w:r>
          </w:p>
        </w:tc>
        <w:tc>
          <w:tcPr>
            <w:tcW w:type="dxa" w:w="661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처리 내용</w:t>
            </w:r>
          </w:p>
        </w:tc>
      </w:tr>
      <w:tr>
        <w:tc>
          <w:tcPr>
            <w:tcW w:type="dxa" w:w="8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01</w:t>
            </w:r>
          </w:p>
        </w:tc>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원천 수집</w:t>
            </w:r>
          </w:p>
        </w:tc>
        <w:tc>
          <w:tcPr>
            <w:tcW w:type="dxa" w:w="66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숙박업 6종, 건축물대장, 관광수요·소비, 공간경계, 빈집·지적필지</w:t>
            </w:r>
          </w:p>
        </w:tc>
      </w:tr>
      <w:tr>
        <w:tc>
          <w:tcPr>
            <w:tcW w:type="dxa" w:w="8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02</w:t>
            </w:r>
          </w:p>
        </w:tc>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표준화·시간버전</w:t>
            </w:r>
          </w:p>
        </w:tc>
        <w:tc>
          <w:tcPr>
            <w:tcW w:type="dxa" w:w="66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주소·업종·인허가·기준일을 표준화하고 원문과 개정이력을 보존</w:t>
            </w:r>
          </w:p>
        </w:tc>
      </w:tr>
      <w:tr>
        <w:tc>
          <w:tcPr>
            <w:tcW w:type="dxa" w:w="8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03</w:t>
            </w:r>
          </w:p>
        </w:tc>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품질검사</w:t>
            </w:r>
          </w:p>
        </w:tc>
        <w:tc>
          <w:tcPr>
            <w:tcW w:type="dxa" w:w="66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행수·스키마·구군 구성·중복·NULL·좌표·발행 불변조건 검증</w:t>
            </w:r>
          </w:p>
        </w:tc>
      </w:tr>
      <w:tr>
        <w:tc>
          <w:tcPr>
            <w:tcW w:type="dxa" w:w="8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04</w:t>
            </w:r>
          </w:p>
        </w:tc>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분석마트</w:t>
            </w:r>
          </w:p>
        </w:tc>
        <w:tc>
          <w:tcPr>
            <w:tcW w:type="dxa" w:w="66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동서 비교, 자치구 순위, 수요압력, 노후도, 등록유형과 투자신호 계산</w:t>
            </w:r>
          </w:p>
        </w:tc>
      </w:tr>
      <w:tr>
        <w:tc>
          <w:tcPr>
            <w:tcW w:type="dxa" w:w="8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05</w:t>
            </w:r>
          </w:p>
        </w:tc>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공간·빈집 분석</w:t>
            </w:r>
          </w:p>
        </w:tc>
        <w:tc>
          <w:tcPr>
            <w:tcW w:type="dxa" w:w="66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VWorld 타일, 시설위치, 거점후보, 연속 필지군과 주소별 검토</w:t>
            </w:r>
          </w:p>
        </w:tc>
      </w:tr>
      <w:tr>
        <w:tc>
          <w:tcPr>
            <w:tcW w:type="dxa" w:w="8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06</w:t>
            </w:r>
          </w:p>
        </w:tc>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원자 게시·AI</w:t>
            </w:r>
          </w:p>
        </w:tc>
        <w:tc>
          <w:tcPr>
            <w:tcW w:type="dxa" w:w="66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승인 발행본만 UI에 게시하고 근거지표 기반 AI 보고서를 생성·캐시</w:t>
            </w:r>
          </w:p>
        </w:tc>
      </w:tr>
    </w:tbl>
    <w:p>
      <w:pPr>
        <w:pStyle w:val="Heading2"/>
        <w:keepNext/>
      </w:pPr>
      <w:r>
        <w:rPr>
          <w:rFonts w:ascii="맑은 고딕" w:hAnsi="맑은 고딕" w:eastAsia="맑은 고딕" w:cs="맑은 고딕"/>
        </w:rPr>
        <w:t>운영 데이터 규모</w:t>
      </w:r>
    </w:p>
    <w:p>
      <w:pPr>
        <w:pStyle w:val="ListBullet"/>
        <w:spacing w:after="80" w:line="300" w:lineRule="auto"/>
        <w:ind w:left="540" w:hanging="271"/>
      </w:pPr>
      <w:r>
        <w:rPr>
          <w:rFonts w:ascii="맑은 고딕" w:hAnsi="맑은 고딕" w:eastAsia="맑은 고딕" w:cs="맑은 고딕"/>
          <w:color w:val="101828"/>
          <w:sz w:val="20"/>
        </w:rPr>
        <w:t>부산 16개 구·군, 숙박시설 3,103개소, 확인 객실 67,949실</w:t>
      </w:r>
    </w:p>
    <w:p>
      <w:pPr>
        <w:pStyle w:val="ListBullet"/>
        <w:spacing w:after="80" w:line="300" w:lineRule="auto"/>
        <w:ind w:left="540" w:hanging="271"/>
      </w:pPr>
      <w:r>
        <w:rPr>
          <w:rFonts w:ascii="맑은 고딕" w:hAnsi="맑은 고딕" w:eastAsia="맑은 고딕" w:cs="맑은 고딕"/>
          <w:color w:val="101828"/>
          <w:sz w:val="20"/>
        </w:rPr>
        <w:t>서부산 4개 구: 강서구·북구·사상구·사하구</w:t>
      </w:r>
    </w:p>
    <w:p>
      <w:pPr>
        <w:pStyle w:val="ListBullet"/>
        <w:spacing w:after="80" w:line="300" w:lineRule="auto"/>
        <w:ind w:left="540" w:hanging="271"/>
      </w:pPr>
      <w:r>
        <w:rPr>
          <w:rFonts w:ascii="맑은 고딕" w:hAnsi="맑은 고딕" w:eastAsia="맑은 고딕" w:cs="맑은 고딕"/>
          <w:color w:val="101828"/>
          <w:sz w:val="20"/>
        </w:rPr>
        <w:t>숙박시설 위치 3,095개소를 VWorld 2D 타일 지도에서 조회</w:t>
      </w:r>
    </w:p>
    <w:p>
      <w:pPr>
        <w:pStyle w:val="ListBullet"/>
        <w:spacing w:after="80" w:line="300" w:lineRule="auto"/>
        <w:ind w:left="540" w:hanging="271"/>
      </w:pPr>
      <w:r>
        <w:rPr>
          <w:rFonts w:ascii="맑은 고딕" w:hAnsi="맑은 고딕" w:eastAsia="맑은 고딕" w:cs="맑은 고딕"/>
          <w:color w:val="101828"/>
          <w:sz w:val="20"/>
        </w:rPr>
        <w:t>빈집 원천 16개 구·군, 현재 게시 빈집 10,670건; 서부산 지도 표출 805건</w:t>
      </w:r>
    </w:p>
    <w:p>
      <w:pPr>
        <w:spacing w:before="200" w:after="40"/>
      </w:pPr>
      <w:r>
        <w:rPr>
          <w:rFonts w:ascii="맑은 고딕" w:hAnsi="맑은 고딕" w:eastAsia="맑은 고딕" w:cs="맑은 고딕"/>
          <w:b/>
          <w:color w:val="1769E0"/>
          <w:sz w:val="17"/>
        </w:rPr>
        <w:t>USER INTERFACE</w:t>
      </w:r>
    </w:p>
    <w:p>
      <w:pPr>
        <w:pStyle w:val="Heading1"/>
        <w:keepNext/>
      </w:pPr>
      <w:r>
        <w:rPr>
          <w:rFonts w:ascii="맑은 고딕" w:hAnsi="맑은 고딕" w:eastAsia="맑은 고딕" w:cs="맑은 고딕"/>
        </w:rPr>
        <w:t>4. 화면 구성과 탭별 기능</w:t>
      </w:r>
    </w:p>
    <w:tbl>
      <w:tblPr>
        <w:tblStyle w:val="TableGrid"/>
        <w:tblW w:type="dxa" w:w="9360"/>
        <w:jc w:val="left"/>
        <w:tblLayout w:type="fixed"/>
        <w:tblLook w:firstColumn="1" w:firstRow="1" w:lastColumn="0" w:lastRow="0" w:noHBand="0" w:noVBand="1" w:val="04A0"/>
        <w:tblInd w:w="120" w:type="dxa"/>
      </w:tblPr>
      <w:tblGrid>
        <w:gridCol w:w="1900"/>
        <w:gridCol w:w="4160"/>
        <w:gridCol w:w="3300"/>
      </w:tblGrid>
      <w:tr>
        <w:trPr>
          <w:tblHeader w:val="true"/>
        </w:trPr>
        <w:tc>
          <w:tcPr>
            <w:tcW w:type="dxa" w:w="190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탭</w:t>
            </w:r>
          </w:p>
        </w:tc>
        <w:tc>
          <w:tcPr>
            <w:tcW w:type="dxa" w:w="416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주요 기능</w:t>
            </w:r>
          </w:p>
        </w:tc>
        <w:tc>
          <w:tcPr>
            <w:tcW w:type="dxa" w:w="330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정책 활용</w:t>
            </w:r>
          </w:p>
        </w:tc>
      </w:tr>
      <w:tr>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종합현황</w:t>
            </w:r>
          </w:p>
        </w:tc>
        <w:tc>
          <w:tcPr>
            <w:tcW w:type="dxa" w:w="41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8개 핵심 KPI와 최근 12개월 방문수요·신규 숙박업 진입 추이</w:t>
            </w:r>
          </w:p>
        </w:tc>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문제 규모와 동서 격차를 빠르게 파악</w:t>
            </w:r>
          </w:p>
        </w:tc>
      </w:tr>
      <w:tr>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서부산 자치구 현황</w:t>
            </w:r>
          </w:p>
        </w:tc>
        <w:tc>
          <w:tcPr>
            <w:tcW w:type="dxa" w:w="41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강서·사하·북구·사상구와 해운대구를 동일 지표로 비교</w:t>
            </w:r>
          </w:p>
        </w:tc>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구별 정책수단과 우선 검토순서 설정</w:t>
            </w:r>
          </w:p>
        </w:tc>
      </w:tr>
      <w:tr>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동서 공급 격차</w:t>
            </w:r>
          </w:p>
        </w:tc>
        <w:tc>
          <w:tcPr>
            <w:tcW w:type="dxa" w:w="41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전체·일반·관광숙박·외국인도시민박·농어촌민박·한옥체험 비교</w:t>
            </w:r>
          </w:p>
        </w:tc>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관광수용 역량과 신규등록 격차 진단</w:t>
            </w:r>
          </w:p>
        </w:tc>
      </w:tr>
      <w:tr>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투자정보 제공</w:t>
            </w:r>
          </w:p>
        </w:tc>
        <w:tc>
          <w:tcPr>
            <w:tcW w:type="dxa" w:w="41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신규공급·리모델링·밀집도·노후도·수요부족 지도와 AI 해석</w:t>
            </w:r>
          </w:p>
        </w:tc>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거점별 민간투자 검토자료 제공</w:t>
            </w:r>
          </w:p>
        </w:tc>
      </w:tr>
      <w:tr>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빈집 정보 제공</w:t>
            </w:r>
          </w:p>
        </w:tc>
        <w:tc>
          <w:tcPr>
            <w:tcW w:type="dxa" w:w="41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연속 필지군, 개별 빈집 위치·주소, 후보 거점과 주소별 분석</w:t>
            </w:r>
          </w:p>
        </w:tc>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빈집 관광숙박·거점개발 사전검토</w:t>
            </w:r>
          </w:p>
        </w:tc>
      </w:tr>
      <w:tr>
        <w:tc>
          <w:tcPr>
            <w:tcW w:type="dxa" w:w="19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AI 종합 분석</w:t>
            </w:r>
          </w:p>
        </w:tc>
        <w:tc>
          <w:tcPr>
            <w:tcW w:type="dxa" w:w="41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8개 절의 종합 정책보고서 생성·근거지표 연결·인쇄</w:t>
            </w:r>
          </w:p>
        </w:tc>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보고서 초안과 정책회의 논점 작성</w:t>
            </w:r>
          </w:p>
        </w:tc>
      </w:tr>
    </w:tbl>
    <w:p>
      <w:pPr>
        <w:pStyle w:val="Heading2"/>
        <w:keepNext/>
      </w:pPr>
      <w:r>
        <w:rPr>
          <w:rFonts w:ascii="맑은 고딕" w:hAnsi="맑은 고딕" w:eastAsia="맑은 고딕" w:cs="맑은 고딕"/>
        </w:rPr>
        <w:t>종합현황 KPI</w:t>
      </w:r>
    </w:p>
    <w:p>
      <w:pPr>
        <w:pStyle w:val="ListBullet"/>
        <w:spacing w:after="80" w:line="300" w:lineRule="auto"/>
        <w:ind w:left="540" w:hanging="271"/>
      </w:pPr>
      <w:r>
        <w:rPr>
          <w:rFonts w:ascii="맑은 고딕" w:hAnsi="맑은 고딕" w:eastAsia="맑은 고딕" w:cs="맑은 고딕"/>
          <w:color w:val="101828"/>
          <w:sz w:val="20"/>
        </w:rPr>
        <w:t>서부산 숙박업체 431개소(확인 객실 10,442실)</w:t>
      </w:r>
    </w:p>
    <w:p>
      <w:pPr>
        <w:pStyle w:val="ListBullet"/>
        <w:spacing w:after="80" w:line="300" w:lineRule="auto"/>
        <w:ind w:left="540" w:hanging="271"/>
      </w:pPr>
      <w:r>
        <w:rPr>
          <w:rFonts w:ascii="맑은 고딕" w:hAnsi="맑은 고딕" w:eastAsia="맑은 고딕" w:cs="맑은 고딕"/>
          <w:color w:val="101828"/>
          <w:sz w:val="20"/>
        </w:rPr>
        <w:t>서부산 일평균 방문수요 371,553명</w:t>
      </w:r>
    </w:p>
    <w:p>
      <w:pPr>
        <w:pStyle w:val="ListBullet"/>
        <w:spacing w:after="80" w:line="300" w:lineRule="auto"/>
        <w:ind w:left="540" w:hanging="271"/>
      </w:pPr>
      <w:r>
        <w:rPr>
          <w:rFonts w:ascii="맑은 고딕" w:hAnsi="맑은 고딕" w:eastAsia="맑은 고딕" w:cs="맑은 고딕"/>
          <w:color w:val="101828"/>
          <w:sz w:val="20"/>
        </w:rPr>
        <w:t>관광숙박업 등록시설 비율 0.7%</w:t>
      </w:r>
    </w:p>
    <w:p>
      <w:pPr>
        <w:pStyle w:val="ListBullet"/>
        <w:spacing w:after="80" w:line="300" w:lineRule="auto"/>
        <w:ind w:left="540" w:hanging="271"/>
      </w:pPr>
      <w:r>
        <w:rPr>
          <w:rFonts w:ascii="맑은 고딕" w:hAnsi="맑은 고딕" w:eastAsia="맑은 고딕" w:cs="맑은 고딕"/>
          <w:color w:val="101828"/>
          <w:sz w:val="20"/>
        </w:rPr>
        <w:t>2021년 이후 숙박업 등록 8.4%</w:t>
      </w:r>
    </w:p>
    <w:p>
      <w:pPr>
        <w:pStyle w:val="ListBullet"/>
        <w:spacing w:after="80" w:line="300" w:lineRule="auto"/>
        <w:ind w:left="540" w:hanging="271"/>
      </w:pPr>
      <w:r>
        <w:rPr>
          <w:rFonts w:ascii="맑은 고딕" w:hAnsi="맑은 고딕" w:eastAsia="맑은 고딕" w:cs="맑은 고딕"/>
          <w:color w:val="101828"/>
          <w:sz w:val="20"/>
        </w:rPr>
        <w:t>방문량 대비 관광소비 상대지수 80.44</w:t>
      </w:r>
    </w:p>
    <w:p>
      <w:pPr>
        <w:pStyle w:val="ListBullet"/>
        <w:spacing w:after="80" w:line="300" w:lineRule="auto"/>
        <w:ind w:left="540" w:hanging="271"/>
      </w:pPr>
      <w:r>
        <w:rPr>
          <w:rFonts w:ascii="맑은 고딕" w:hAnsi="맑은 고딕" w:eastAsia="맑은 고딕" w:cs="맑은 고딕"/>
          <w:color w:val="101828"/>
          <w:sz w:val="20"/>
        </w:rPr>
        <w:t>건축연령 20년 이상 시설 86.6%</w:t>
      </w:r>
    </w:p>
    <w:p>
      <w:pPr>
        <w:pStyle w:val="ListBullet"/>
        <w:spacing w:after="80" w:line="300" w:lineRule="auto"/>
        <w:ind w:left="540" w:hanging="271"/>
      </w:pPr>
      <w:r>
        <w:rPr>
          <w:rFonts w:ascii="맑은 고딕" w:hAnsi="맑은 고딕" w:eastAsia="맑은 고딕" w:cs="맑은 고딕"/>
          <w:color w:val="101828"/>
          <w:sz w:val="20"/>
        </w:rPr>
        <w:t>평균 인허가 경과연수 28.0년</w:t>
      </w:r>
    </w:p>
    <w:p>
      <w:pPr>
        <w:pStyle w:val="ListBullet"/>
        <w:spacing w:after="80" w:line="300" w:lineRule="auto"/>
        <w:ind w:left="540" w:hanging="271"/>
      </w:pPr>
      <w:r>
        <w:rPr>
          <w:rFonts w:ascii="맑은 고딕" w:hAnsi="맑은 고딕" w:eastAsia="맑은 고딕" w:cs="맑은 고딕"/>
          <w:color w:val="101828"/>
          <w:sz w:val="20"/>
        </w:rPr>
        <w:t>외국인 숙박 대응시설 2.3%</w:t>
      </w:r>
    </w:p>
    <w:p>
      <w:pPr>
        <w:spacing w:before="200" w:after="40"/>
      </w:pPr>
      <w:r>
        <w:rPr>
          <w:rFonts w:ascii="맑은 고딕" w:hAnsi="맑은 고딕" w:eastAsia="맑은 고딕" w:cs="맑은 고딕"/>
          <w:b/>
          <w:color w:val="1769E0"/>
          <w:sz w:val="17"/>
        </w:rPr>
        <w:t>SUPPLY GAP</w:t>
      </w:r>
    </w:p>
    <w:p>
      <w:pPr>
        <w:pStyle w:val="Heading1"/>
        <w:keepNext/>
      </w:pPr>
      <w:r>
        <w:rPr>
          <w:rFonts w:ascii="맑은 고딕" w:hAnsi="맑은 고딕" w:eastAsia="맑은 고딕" w:cs="맑은 고딕"/>
        </w:rPr>
        <w:t>5. 동서 공급격차 분석</w:t>
      </w:r>
    </w:p>
    <w:p>
      <w:pPr>
        <w:pStyle w:val="Heading2"/>
        <w:keepNext/>
      </w:pPr>
      <w:r>
        <w:rPr>
          <w:rFonts w:ascii="맑은 고딕" w:hAnsi="맑은 고딕" w:eastAsia="맑은 고딕" w:cs="맑은 고딕"/>
        </w:rPr>
        <w:t>동일 기준 비교</w:t>
      </w:r>
    </w:p>
    <w:p>
      <w:pPr>
        <w:spacing w:after="120" w:line="300" w:lineRule="auto"/>
      </w:pPr>
      <w:r>
        <w:rPr>
          <w:rFonts w:ascii="맑은 고딕" w:hAnsi="맑은 고딕" w:eastAsia="맑은 고딕" w:cs="맑은 고딕"/>
          <w:color w:val="101828"/>
          <w:sz w:val="21"/>
        </w:rPr>
        <w:t>서부산·동부산·기타 부산을 동일한 권역 정의와 동일 산식으로 비교합니다. 권역별 업체수와 객실, 시설당 객실 중앙값, 관광숙박·외국인 대응 등록, 건축연령, 최초 인허가 경과연수와 최근 등록을 함께 표시합니다.</w:t>
      </w:r>
    </w:p>
    <w:tbl>
      <w:tblPr>
        <w:tblStyle w:val="TableGrid"/>
        <w:tblW w:type="dxa" w:w="9360"/>
        <w:jc w:val="left"/>
        <w:tblLayout w:type="fixed"/>
        <w:tblLook w:firstColumn="1" w:firstRow="1" w:lastColumn="0" w:lastRow="0" w:noHBand="0" w:noVBand="1" w:val="04A0"/>
        <w:tblInd w:w="120" w:type="dxa"/>
      </w:tblPr>
      <w:tblGrid>
        <w:gridCol w:w="2450"/>
        <w:gridCol w:w="1550"/>
        <w:gridCol w:w="1550"/>
        <w:gridCol w:w="3810"/>
      </w:tblGrid>
      <w:tr>
        <w:trPr>
          <w:tblHeader w:val="true"/>
        </w:trPr>
        <w:tc>
          <w:tcPr>
            <w:tcW w:type="dxa" w:w="245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지표</w:t>
            </w:r>
          </w:p>
        </w:tc>
        <w:tc>
          <w:tcPr>
            <w:tcW w:type="dxa" w:w="155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서부산</w:t>
            </w:r>
          </w:p>
        </w:tc>
        <w:tc>
          <w:tcPr>
            <w:tcW w:type="dxa" w:w="155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동부산</w:t>
            </w:r>
          </w:p>
        </w:tc>
        <w:tc>
          <w:tcPr>
            <w:tcW w:type="dxa" w:w="381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정책적 의미</w:t>
            </w:r>
          </w:p>
        </w:tc>
      </w:tr>
      <w:tr>
        <w:tc>
          <w:tcPr>
            <w:tcW w:type="dxa" w:w="24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객실 100실당 방문수요</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3,558.3</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1,997.5</w:t>
            </w:r>
          </w:p>
        </w:tc>
        <w:tc>
          <w:tcPr>
            <w:tcW w:type="dxa" w:w="38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서부산 수요압력 1.78배</w:t>
            </w:r>
          </w:p>
        </w:tc>
      </w:tr>
      <w:tr>
        <w:tc>
          <w:tcPr>
            <w:tcW w:type="dxa" w:w="24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관광숙박 등록</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0.7%</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11.3%</w:t>
            </w:r>
          </w:p>
        </w:tc>
        <w:tc>
          <w:tcPr>
            <w:tcW w:type="dxa" w:w="38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관광숙박 공급구조 취약</w:t>
            </w:r>
          </w:p>
        </w:tc>
      </w:tr>
      <w:tr>
        <w:tc>
          <w:tcPr>
            <w:tcW w:type="dxa" w:w="24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외국인 숙박 대응시설</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2.3%</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38.3%</w:t>
            </w:r>
          </w:p>
        </w:tc>
        <w:tc>
          <w:tcPr>
            <w:tcW w:type="dxa" w:w="38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국제관광 수용 등록기반 격차</w:t>
            </w:r>
          </w:p>
        </w:tc>
      </w:tr>
      <w:tr>
        <w:tc>
          <w:tcPr>
            <w:tcW w:type="dxa" w:w="24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20년 이상 건축물</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86.6%</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72.0%</w:t>
            </w:r>
          </w:p>
        </w:tc>
        <w:tc>
          <w:tcPr>
            <w:tcW w:type="dxa" w:w="38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리모델링·품질개선 수요</w:t>
            </w:r>
          </w:p>
        </w:tc>
      </w:tr>
      <w:tr>
        <w:tc>
          <w:tcPr>
            <w:tcW w:type="dxa" w:w="24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2021년 이후 숙박업 등록</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8.4%</w:t>
            </w:r>
          </w:p>
        </w:tc>
        <w:tc>
          <w:tcPr>
            <w:tcW w:type="dxa" w:w="155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59.6%</w:t>
            </w:r>
          </w:p>
        </w:tc>
        <w:tc>
          <w:tcPr>
            <w:tcW w:type="dxa" w:w="381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신규 시장진입 격차</w:t>
            </w:r>
          </w:p>
        </w:tc>
      </w:tr>
    </w:tbl>
    <w:p>
      <w:pPr>
        <w:pStyle w:val="Heading2"/>
        <w:keepNext/>
      </w:pPr>
      <w:r>
        <w:rPr>
          <w:rFonts w:ascii="맑은 고딕" w:hAnsi="맑은 고딕" w:eastAsia="맑은 고딕" w:cs="맑은 고딕"/>
        </w:rPr>
        <w:t>관광소비 상대지표 산식</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2FF"/>
          </w:tcPr>
          <w:p>
            <w:pPr>
              <w:spacing w:before="60" w:after="60" w:line="288" w:lineRule="auto"/>
            </w:pPr>
            <w:r>
              <w:rPr>
                <w:rFonts w:ascii="맑은 고딕" w:hAnsi="맑은 고딕" w:eastAsia="맑은 고딕" w:cs="맑은 고딕"/>
                <w:b/>
                <w:color w:val="1769E0"/>
                <w:sz w:val="20"/>
              </w:rPr>
              <w:t xml:space="preserve">공식 원천 산식  </w:t>
            </w:r>
            <w:r>
              <w:rPr>
                <w:rFonts w:ascii="맑은 고딕" w:hAnsi="맑은 고딕" w:eastAsia="맑은 고딕" w:cs="맑은 고딕"/>
                <w:color w:val="101828"/>
                <w:sz w:val="20"/>
              </w:rPr>
              <w:t>방문량 대비 방문 소비액 = 전체 관광소비액 ÷ 전체 방문량. 신한·BC카드 관광소비액과 SKT 방문량을 결합한 한국관광공사 시군구 월별 원천지표를 권역 내 구 단위로 평균합니다.</w:t>
            </w:r>
          </w:p>
        </w:tc>
      </w:tr>
    </w:tbl>
    <w:p>
      <w:pPr>
        <w:spacing w:after="80"/>
      </w:pPr>
    </w:p>
    <w:p>
      <w:pPr>
        <w:spacing w:after="120" w:line="300" w:lineRule="auto"/>
      </w:pPr>
      <w:r>
        <w:rPr>
          <w:rFonts w:ascii="맑은 고딕" w:hAnsi="맑은 고딕" w:eastAsia="맑은 고딕" w:cs="맑은 고딕"/>
          <w:color w:val="101828"/>
          <w:sz w:val="21"/>
        </w:rPr>
        <w:t>이 값은 지역 간 소비수준을 비교하는 상대지표입니다. 현재 화면의 80.44를 80.44원, 80.44%, 점유율 또는 실제 1인당 소비금액으로 해석하지 않습니다.</w:t>
      </w:r>
    </w:p>
    <w:p>
      <w:pPr>
        <w:spacing w:before="200" w:after="40"/>
      </w:pPr>
      <w:r>
        <w:rPr>
          <w:rFonts w:ascii="맑은 고딕" w:hAnsi="맑은 고딕" w:eastAsia="맑은 고딕" w:cs="맑은 고딕"/>
          <w:b/>
          <w:color w:val="1769E0"/>
          <w:sz w:val="17"/>
        </w:rPr>
        <w:t>INVESTMENT INFORMATION</w:t>
      </w:r>
    </w:p>
    <w:p>
      <w:pPr>
        <w:pStyle w:val="Heading1"/>
        <w:keepNext/>
      </w:pPr>
      <w:r>
        <w:rPr>
          <w:rFonts w:ascii="맑은 고딕" w:hAnsi="맑은 고딕" w:eastAsia="맑은 고딕" w:cs="맑은 고딕"/>
        </w:rPr>
        <w:t>6. 투자정보 제공과 공간지도</w:t>
      </w:r>
    </w:p>
    <w:p>
      <w:pPr>
        <w:spacing w:after="120" w:line="300" w:lineRule="auto"/>
      </w:pPr>
      <w:r>
        <w:rPr>
          <w:rFonts w:ascii="맑은 고딕" w:hAnsi="맑은 고딕" w:eastAsia="맑은 고딕" w:cs="맑은 고딕"/>
          <w:color w:val="101828"/>
          <w:sz w:val="21"/>
        </w:rPr>
        <w:t>투자정보 탭은 정적 그림이 아니라 VWorld 2D 타일을 사용하는 확대·축소형 운영지도입니다. 시설위치와 거점후보를 선택하면 해당 지역의 시설 수, 확인 객실, 노후시설, 방문수요와 공급부족 근거를 표시하고 AI가 적합한 검토유형을 설명합니다.</w:t>
      </w:r>
    </w:p>
    <w:p>
      <w:pPr>
        <w:pStyle w:val="Heading2"/>
        <w:keepNext/>
      </w:pPr>
      <w:r>
        <w:rPr>
          <w:rFonts w:ascii="맑은 고딕" w:hAnsi="맑은 고딕" w:eastAsia="맑은 고딕" w:cs="맑은 고딕"/>
        </w:rPr>
        <w:t>지도 분석 레이어</w:t>
      </w:r>
    </w:p>
    <w:p>
      <w:pPr>
        <w:pStyle w:val="ListBullet"/>
        <w:spacing w:after="80" w:line="300" w:lineRule="auto"/>
        <w:ind w:left="540" w:hanging="271"/>
      </w:pPr>
      <w:r>
        <w:rPr>
          <w:rFonts w:ascii="맑은 고딕" w:hAnsi="맑은 고딕" w:eastAsia="맑은 고딕" w:cs="맑은 고딕"/>
          <w:color w:val="101828"/>
          <w:sz w:val="20"/>
        </w:rPr>
        <w:t>서부산 숙박시설 정책 우선방향: 강서·북구·사상·사하의 상위 거점을 비교</w:t>
      </w:r>
    </w:p>
    <w:p>
      <w:pPr>
        <w:pStyle w:val="ListBullet"/>
        <w:spacing w:after="80" w:line="300" w:lineRule="auto"/>
        <w:ind w:left="540" w:hanging="271"/>
      </w:pPr>
      <w:r>
        <w:rPr>
          <w:rFonts w:ascii="맑은 고딕" w:hAnsi="맑은 고딕" w:eastAsia="맑은 고딕" w:cs="맑은 고딕"/>
          <w:color w:val="101828"/>
          <w:sz w:val="20"/>
        </w:rPr>
        <w:t>관광수요 대비 숙박공급 부족: 방문수요와 확인 객실을 결합한 공급압력</w:t>
      </w:r>
    </w:p>
    <w:p>
      <w:pPr>
        <w:pStyle w:val="ListBullet"/>
        <w:spacing w:after="80" w:line="300" w:lineRule="auto"/>
        <w:ind w:left="540" w:hanging="271"/>
      </w:pPr>
      <w:r>
        <w:rPr>
          <w:rFonts w:ascii="맑은 고딕" w:hAnsi="맑은 고딕" w:eastAsia="맑은 고딕" w:cs="맑은 고딕"/>
          <w:color w:val="101828"/>
          <w:sz w:val="20"/>
        </w:rPr>
        <w:t>숙박시설 밀집도: 주소좌표가 확인된 시설의 공간 집중</w:t>
      </w:r>
    </w:p>
    <w:p>
      <w:pPr>
        <w:pStyle w:val="ListBullet"/>
        <w:spacing w:after="80" w:line="300" w:lineRule="auto"/>
        <w:ind w:left="540" w:hanging="271"/>
      </w:pPr>
      <w:r>
        <w:rPr>
          <w:rFonts w:ascii="맑은 고딕" w:hAnsi="맑은 고딕" w:eastAsia="맑은 고딕" w:cs="맑은 고딕"/>
          <w:color w:val="101828"/>
          <w:sz w:val="20"/>
        </w:rPr>
        <w:t>노후 숙박시설 밀집도: 20년 이상 건축물 연결 시설의 집중</w:t>
      </w:r>
    </w:p>
    <w:p>
      <w:pPr>
        <w:pStyle w:val="ListBullet"/>
        <w:spacing w:after="80" w:line="300" w:lineRule="auto"/>
        <w:ind w:left="540" w:hanging="271"/>
      </w:pPr>
      <w:r>
        <w:rPr>
          <w:rFonts w:ascii="맑은 고딕" w:hAnsi="맑은 고딕" w:eastAsia="맑은 고딕" w:cs="맑은 고딕"/>
          <w:color w:val="101828"/>
          <w:sz w:val="20"/>
        </w:rPr>
        <w:t>숙박시설 위치: 개별 점을 선택해 업소·주소·객실·건축연령 정보를 조회</w:t>
      </w:r>
    </w:p>
    <w:p>
      <w:pPr>
        <w:pStyle w:val="Heading2"/>
        <w:keepNext/>
      </w:pPr>
      <w:r>
        <w:rPr>
          <w:rFonts w:ascii="맑은 고딕" w:hAnsi="맑은 고딕" w:eastAsia="맑은 고딕" w:cs="맑은 고딕"/>
        </w:rPr>
        <w:t>투자유형</w:t>
      </w:r>
    </w:p>
    <w:tbl>
      <w:tblPr>
        <w:tblStyle w:val="TableGrid"/>
        <w:tblW w:type="dxa" w:w="9360"/>
        <w:jc w:val="left"/>
        <w:tblLayout w:type="fixed"/>
        <w:tblLook w:firstColumn="1" w:firstRow="1" w:lastColumn="0" w:lastRow="0" w:noHBand="0" w:noVBand="1" w:val="04A0"/>
        <w:tblInd w:w="120" w:type="dxa"/>
      </w:tblPr>
      <w:tblGrid>
        <w:gridCol w:w="2200"/>
        <w:gridCol w:w="3960"/>
        <w:gridCol w:w="3200"/>
      </w:tblGrid>
      <w:tr>
        <w:trPr>
          <w:tblHeader w:val="true"/>
        </w:trPr>
        <w:tc>
          <w:tcPr>
            <w:tcW w:type="dxa" w:w="220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유형</w:t>
            </w:r>
          </w:p>
        </w:tc>
        <w:tc>
          <w:tcPr>
            <w:tcW w:type="dxa" w:w="396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선별 신호</w:t>
            </w:r>
          </w:p>
        </w:tc>
        <w:tc>
          <w:tcPr>
            <w:tcW w:type="dxa" w:w="320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후속 확인</w:t>
            </w:r>
          </w:p>
        </w:tc>
      </w:tr>
      <w:tr>
        <w:tc>
          <w:tcPr>
            <w:tcW w:type="dxa" w:w="2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신규 관광숙박 공급</w:t>
            </w:r>
          </w:p>
        </w:tc>
        <w:tc>
          <w:tcPr>
            <w:tcW w:type="dxa" w:w="39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높은 방문수요·낮은 객실공급·낮은 관광숙박 비중</w:t>
            </w:r>
          </w:p>
        </w:tc>
        <w:tc>
          <w:tcPr>
            <w:tcW w:type="dxa" w:w="3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용도지역, 인허가, 사업성</w:t>
            </w:r>
          </w:p>
        </w:tc>
      </w:tr>
      <w:tr>
        <w:tc>
          <w:tcPr>
            <w:tcW w:type="dxa" w:w="2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기존시설 리모델링</w:t>
            </w:r>
          </w:p>
        </w:tc>
        <w:tc>
          <w:tcPr>
            <w:tcW w:type="dxa" w:w="39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노후시설 밀집·낮은 신규등록·교통거점 접근</w:t>
            </w:r>
          </w:p>
        </w:tc>
        <w:tc>
          <w:tcPr>
            <w:tcW w:type="dxa" w:w="3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구조안전, 사업자 의사, 금융</w:t>
            </w:r>
          </w:p>
        </w:tc>
      </w:tr>
      <w:tr>
        <w:tc>
          <w:tcPr>
            <w:tcW w:type="dxa" w:w="2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빈집 관광숙박 전환</w:t>
            </w:r>
          </w:p>
        </w:tc>
        <w:tc>
          <w:tcPr>
            <w:tcW w:type="dxa" w:w="39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연속 필지군·관광수요·접근성 결합</w:t>
            </w:r>
          </w:p>
        </w:tc>
        <w:tc>
          <w:tcPr>
            <w:tcW w:type="dxa" w:w="3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소유권, 접도, 소방, 위생</w:t>
            </w:r>
          </w:p>
        </w:tc>
      </w:tr>
      <w:tr>
        <w:tc>
          <w:tcPr>
            <w:tcW w:type="dxa" w:w="2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체류 콘텐츠 투자</w:t>
            </w:r>
          </w:p>
        </w:tc>
        <w:tc>
          <w:tcPr>
            <w:tcW w:type="dxa" w:w="39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숙박거점과 관광·상권 자원의 결합 가능성</w:t>
            </w:r>
          </w:p>
        </w:tc>
        <w:tc>
          <w:tcPr>
            <w:tcW w:type="dxa" w:w="32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운영주체, 수익모델, 주민수용</w:t>
            </w:r>
          </w:p>
        </w:tc>
      </w:tr>
    </w:tbl>
    <w:p>
      <w:pPr>
        <w:spacing w:before="200" w:after="40"/>
      </w:pPr>
      <w:r>
        <w:rPr>
          <w:rFonts w:ascii="맑은 고딕" w:hAnsi="맑은 고딕" w:eastAsia="맑은 고딕" w:cs="맑은 고딕"/>
          <w:b/>
          <w:color w:val="1769E0"/>
          <w:sz w:val="17"/>
        </w:rPr>
        <w:t>VACANT HOUSE</w:t>
      </w:r>
    </w:p>
    <w:p>
      <w:pPr>
        <w:pStyle w:val="Heading1"/>
        <w:keepNext/>
      </w:pPr>
      <w:r>
        <w:rPr>
          <w:rFonts w:ascii="맑은 고딕" w:hAnsi="맑은 고딕" w:eastAsia="맑은 고딕" w:cs="맑은 고딕"/>
        </w:rPr>
        <w:t>7. 빈집 정보 제공</w:t>
      </w:r>
    </w:p>
    <w:p>
      <w:pPr>
        <w:spacing w:after="120" w:line="300" w:lineRule="auto"/>
      </w:pPr>
      <w:r>
        <w:rPr>
          <w:rFonts w:ascii="맑은 고딕" w:hAnsi="맑은 고딕" w:eastAsia="맑은 고딕" w:cs="맑은 고딕"/>
          <w:color w:val="101828"/>
          <w:sz w:val="21"/>
        </w:rPr>
        <w:t>빈집 기능은 500m 이내의 단순 근접이 아니라 지적 필지 경계를 직접 맞댄 3개 이상의 연속 빈집 필지군을 거점개발 후보로 판정합니다. VWorld 지도에서 필지경계와 개별 빈집 위치·주소를 확대 조회하고, 입력 주소가 후보군 내부·인접·고립인지 분석합니다.</w:t>
      </w:r>
    </w:p>
    <w:tbl>
      <w:tblPr>
        <w:tblStyle w:val="TableGrid"/>
        <w:tblW w:type="dxa" w:w="9360"/>
        <w:jc w:val="left"/>
        <w:tblLayout w:type="fixed"/>
        <w:tblLook w:firstColumn="1" w:firstRow="1" w:lastColumn="0" w:lastRow="0" w:noHBand="0" w:noVBand="1" w:val="04A0"/>
        <w:tblInd w:w="120" w:type="dxa"/>
      </w:tblPr>
      <w:tblGrid>
        <w:gridCol w:w="2920"/>
        <w:gridCol w:w="6440"/>
      </w:tblGrid>
      <w:tr>
        <w:trPr>
          <w:tblHeader w:val="true"/>
        </w:trPr>
        <w:tc>
          <w:tcPr>
            <w:tcW w:type="dxa" w:w="2920"/>
            <w:vAlign w:val="center"/>
            <w:tcMar>
              <w:top w:w="90" w:type="dxa"/>
              <w:start w:w="120" w:type="dxa"/>
              <w:bottom w:w="90" w:type="dxa"/>
              <w:end w:w="120" w:type="dxa"/>
            </w:tcMar>
            <w:shd w:fill="0E8792"/>
          </w:tcPr>
          <w:p>
            <w:pPr>
              <w:spacing w:before="0" w:after="40" w:line="276" w:lineRule="auto"/>
            </w:pPr>
            <w:r>
              <w:rPr>
                <w:rFonts w:ascii="맑은 고딕" w:hAnsi="맑은 고딕" w:eastAsia="맑은 고딕" w:cs="맑은 고딕"/>
                <w:b/>
                <w:color w:val="FFFFFF"/>
                <w:sz w:val="18"/>
              </w:rPr>
              <w:t>운영 항목</w:t>
            </w:r>
          </w:p>
        </w:tc>
        <w:tc>
          <w:tcPr>
            <w:tcW w:type="dxa" w:w="6440"/>
            <w:vAlign w:val="center"/>
            <w:tcMar>
              <w:top w:w="90" w:type="dxa"/>
              <w:start w:w="120" w:type="dxa"/>
              <w:bottom w:w="90" w:type="dxa"/>
              <w:end w:w="120" w:type="dxa"/>
            </w:tcMar>
            <w:shd w:fill="0E8792"/>
          </w:tcPr>
          <w:p>
            <w:pPr>
              <w:spacing w:before="0" w:after="40" w:line="276" w:lineRule="auto"/>
            </w:pPr>
            <w:r>
              <w:rPr>
                <w:rFonts w:ascii="맑은 고딕" w:hAnsi="맑은 고딕" w:eastAsia="맑은 고딕" w:cs="맑은 고딕"/>
                <w:b/>
                <w:color w:val="FFFFFF"/>
                <w:sz w:val="18"/>
              </w:rPr>
              <w:t>현재 게시 상태</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원천 스냅샷</w:t>
            </w:r>
          </w:p>
        </w:tc>
        <w:tc>
          <w:tcPr>
            <w:tcW w:type="dxa" w:w="644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2025.02 기준 16개 구·군 자료</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현재 빈집 게시본</w:t>
            </w:r>
          </w:p>
        </w:tc>
        <w:tc>
          <w:tcPr>
            <w:tcW w:type="dxa" w:w="644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부산 전체 10,670건</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서부산 지도 표출</w:t>
            </w:r>
          </w:p>
        </w:tc>
        <w:tc>
          <w:tcPr>
            <w:tcW w:type="dxa" w:w="644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개별 빈집 805건, 고유 필지 760개</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구별 고유 필지</w:t>
            </w:r>
          </w:p>
        </w:tc>
        <w:tc>
          <w:tcPr>
            <w:tcW w:type="dxa" w:w="644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강서 28 · 북구 161 · 사상 132 · 사하 439</w:t>
            </w:r>
          </w:p>
        </w:tc>
      </w:tr>
      <w:tr>
        <w:tc>
          <w:tcPr>
            <w:tcW w:type="dxa" w:w="292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연속 필지군</w:t>
            </w:r>
          </w:p>
        </w:tc>
        <w:tc>
          <w:tcPr>
            <w:tcW w:type="dxa" w:w="644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최대 10개를 제시하되 현재 물리적 연속성 기준 충족 후보는 4개</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8F6F7"/>
          </w:tcPr>
          <w:p>
            <w:pPr>
              <w:spacing w:before="60" w:after="60" w:line="288" w:lineRule="auto"/>
            </w:pPr>
            <w:r>
              <w:rPr>
                <w:rFonts w:ascii="맑은 고딕" w:hAnsi="맑은 고딕" w:eastAsia="맑은 고딕" w:cs="맑은 고딕"/>
                <w:b/>
                <w:color w:val="1769E0"/>
                <w:sz w:val="20"/>
              </w:rPr>
              <w:t xml:space="preserve">중요  </w:t>
            </w:r>
            <w:r>
              <w:rPr>
                <w:rFonts w:ascii="맑은 고딕" w:hAnsi="맑은 고딕" w:eastAsia="맑은 고딕" w:cs="맑은 고딕"/>
                <w:color w:val="101828"/>
                <w:sz w:val="20"/>
              </w:rPr>
              <w:t>‘후보 10개’는 임의로 채우는 목표값이 아니라 최대 표시건수입니다. 현재 원천에서 경계를 맞댄 3필지 이상 조건을 충족한 후보는 4개이며, 연속성이 없는 빈집을 추가해 10개로 만들지 않습니다.</w:t>
            </w:r>
          </w:p>
        </w:tc>
      </w:tr>
    </w:tbl>
    <w:p>
      <w:pPr>
        <w:spacing w:after="80"/>
      </w:pPr>
    </w:p>
    <w:p>
      <w:pPr>
        <w:spacing w:before="200" w:after="40"/>
      </w:pPr>
      <w:r>
        <w:rPr>
          <w:rFonts w:ascii="맑은 고딕" w:hAnsi="맑은 고딕" w:eastAsia="맑은 고딕" w:cs="맑은 고딕"/>
          <w:b/>
          <w:color w:val="1769E0"/>
          <w:sz w:val="17"/>
        </w:rPr>
        <w:t>AI POLICY ANALYSIS</w:t>
      </w:r>
    </w:p>
    <w:p>
      <w:pPr>
        <w:pStyle w:val="Heading1"/>
        <w:keepNext/>
      </w:pPr>
      <w:r>
        <w:rPr>
          <w:rFonts w:ascii="맑은 고딕" w:hAnsi="맑은 고딕" w:eastAsia="맑은 고딕" w:cs="맑은 고딕"/>
        </w:rPr>
        <w:t>8. AI 정책해석과 종합보고서</w:t>
      </w:r>
    </w:p>
    <w:p>
      <w:pPr>
        <w:spacing w:after="120" w:line="300" w:lineRule="auto"/>
      </w:pPr>
      <w:r>
        <w:rPr>
          <w:rFonts w:ascii="맑은 고딕" w:hAnsi="맑은 고딕" w:eastAsia="맑은 고딕" w:cs="맑은 고딕"/>
          <w:color w:val="101828"/>
          <w:sz w:val="21"/>
        </w:rPr>
        <w:t>AI 기능은 자유로운 추정 대신 현재 승인된 발행본의 지표 ID와 값만 근거로 구조화된 해석을 생성합니다. 동서 공급구조, 서부산 4개 구, 투자유형, 빈집 연속 필지군과 정책사업을 연결해 8개 절의 종합보고서를 작성합니다.</w:t>
      </w:r>
    </w:p>
    <w:p>
      <w:pPr>
        <w:pStyle w:val="Heading2"/>
        <w:keepNext/>
      </w:pPr>
      <w:r>
        <w:rPr>
          <w:rFonts w:ascii="맑은 고딕" w:hAnsi="맑은 고딕" w:eastAsia="맑은 고딕" w:cs="맑은 고딕"/>
        </w:rPr>
        <w:t>AI 기능 구성</w:t>
      </w:r>
    </w:p>
    <w:p>
      <w:pPr>
        <w:pStyle w:val="ListBullet"/>
        <w:spacing w:after="80" w:line="300" w:lineRule="auto"/>
        <w:ind w:left="540" w:hanging="271"/>
      </w:pPr>
      <w:r>
        <w:rPr>
          <w:rFonts w:ascii="맑은 고딕" w:hAnsi="맑은 고딕" w:eastAsia="맑은 고딕" w:cs="맑은 고딕"/>
          <w:color w:val="101828"/>
          <w:sz w:val="20"/>
        </w:rPr>
        <w:t>자치구 카드: 해운대구 비교지표를 포함한 구별 정책검토 포인트 생성</w:t>
      </w:r>
    </w:p>
    <w:p>
      <w:pPr>
        <w:pStyle w:val="ListBullet"/>
        <w:spacing w:after="80" w:line="300" w:lineRule="auto"/>
        <w:ind w:left="540" w:hanging="271"/>
      </w:pPr>
      <w:r>
        <w:rPr>
          <w:rFonts w:ascii="맑은 고딕" w:hAnsi="맑은 고딕" w:eastAsia="맑은 고딕" w:cs="맑은 고딕"/>
          <w:color w:val="101828"/>
          <w:sz w:val="20"/>
        </w:rPr>
        <w:t>동서 공급격차: 방문수요·등록유형·노후도·신규등록을 한 발행본으로 해석</w:t>
      </w:r>
    </w:p>
    <w:p>
      <w:pPr>
        <w:pStyle w:val="ListBullet"/>
        <w:spacing w:after="80" w:line="300" w:lineRule="auto"/>
        <w:ind w:left="540" w:hanging="271"/>
      </w:pPr>
      <w:r>
        <w:rPr>
          <w:rFonts w:ascii="맑은 고딕" w:hAnsi="맑은 고딕" w:eastAsia="맑은 고딕" w:cs="맑은 고딕"/>
          <w:color w:val="101828"/>
          <w:sz w:val="20"/>
        </w:rPr>
        <w:t>투자정보: 선택 거점의 신규공급·리모델링·빈집 전환·콘텐츠 보완 순서 제시</w:t>
      </w:r>
    </w:p>
    <w:p>
      <w:pPr>
        <w:pStyle w:val="ListBullet"/>
        <w:spacing w:after="80" w:line="300" w:lineRule="auto"/>
        <w:ind w:left="540" w:hanging="271"/>
      </w:pPr>
      <w:r>
        <w:rPr>
          <w:rFonts w:ascii="맑은 고딕" w:hAnsi="맑은 고딕" w:eastAsia="맑은 고딕" w:cs="맑은 고딕"/>
          <w:color w:val="101828"/>
          <w:sz w:val="20"/>
        </w:rPr>
        <w:t>주소분석: 입력 주소의 근거 범위를 확인하고 후보군 내부·인접·고립 상태 설명</w:t>
      </w:r>
    </w:p>
    <w:p>
      <w:pPr>
        <w:pStyle w:val="ListBullet"/>
        <w:spacing w:after="80" w:line="300" w:lineRule="auto"/>
        <w:ind w:left="540" w:hanging="271"/>
      </w:pPr>
      <w:r>
        <w:rPr>
          <w:rFonts w:ascii="맑은 고딕" w:hAnsi="맑은 고딕" w:eastAsia="맑은 고딕" w:cs="맑은 고딕"/>
          <w:color w:val="101828"/>
          <w:sz w:val="20"/>
        </w:rPr>
        <w:t>종합보고서: 요약, 관광수요·공급, 동서격차, 4개 구, 투자, 빈집, 정책사업, 한계의 8개 절 생성</w:t>
      </w:r>
    </w:p>
    <w:p>
      <w:pPr>
        <w:pStyle w:val="Heading2"/>
        <w:keepNext/>
      </w:pPr>
      <w:r>
        <w:rPr>
          <w:rFonts w:ascii="맑은 고딕" w:hAnsi="맑은 고딕" w:eastAsia="맑은 고딕" w:cs="맑은 고딕"/>
        </w:rPr>
        <w:t>근거·캐시·장애대응</w:t>
      </w:r>
    </w:p>
    <w:tbl>
      <w:tblPr>
        <w:tblStyle w:val="TableGrid"/>
        <w:tblW w:type="dxa" w:w="9360"/>
        <w:jc w:val="left"/>
        <w:tblLayout w:type="fixed"/>
        <w:tblLook w:firstColumn="1" w:firstRow="1" w:lastColumn="0" w:lastRow="0" w:noHBand="0" w:noVBand="1" w:val="04A0"/>
        <w:tblInd w:w="120" w:type="dxa"/>
      </w:tblPr>
      <w:tblGrid>
        <w:gridCol w:w="2600"/>
        <w:gridCol w:w="6760"/>
      </w:tblGrid>
      <w:tr>
        <w:trPr>
          <w:tblHeader w:val="true"/>
        </w:trPr>
        <w:tc>
          <w:tcPr>
            <w:tcW w:type="dxa" w:w="260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통제 항목</w:t>
            </w:r>
          </w:p>
        </w:tc>
        <w:tc>
          <w:tcPr>
            <w:tcW w:type="dxa" w:w="6760"/>
            <w:vAlign w:val="center"/>
            <w:tcMar>
              <w:top w:w="90" w:type="dxa"/>
              <w:start w:w="120" w:type="dxa"/>
              <w:bottom w:w="90" w:type="dxa"/>
              <w:end w:w="120" w:type="dxa"/>
            </w:tcMar>
            <w:shd w:fill="0B2E52"/>
          </w:tcPr>
          <w:p>
            <w:pPr>
              <w:spacing w:before="0" w:after="40" w:line="276" w:lineRule="auto"/>
            </w:pPr>
            <w:r>
              <w:rPr>
                <w:rFonts w:ascii="맑은 고딕" w:hAnsi="맑은 고딕" w:eastAsia="맑은 고딕" w:cs="맑은 고딕"/>
                <w:b/>
                <w:color w:val="FFFFFF"/>
                <w:sz w:val="18"/>
              </w:rPr>
              <w:t>적용 방식</w:t>
            </w:r>
          </w:p>
        </w:tc>
      </w:tr>
      <w:tr>
        <w:tc>
          <w:tcPr>
            <w:tcW w:type="dxa" w:w="26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근거 제한</w:t>
            </w:r>
          </w:p>
        </w:tc>
        <w:tc>
          <w:tcPr>
            <w:tcW w:type="dxa" w:w="67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제공된 지표 ID만 인용하고 화면 근거와 다시 연결</w:t>
            </w:r>
          </w:p>
        </w:tc>
      </w:tr>
      <w:tr>
        <w:tc>
          <w:tcPr>
            <w:tcW w:type="dxa" w:w="26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민감정보</w:t>
            </w:r>
          </w:p>
        </w:tc>
        <w:tc>
          <w:tcPr>
            <w:tcW w:type="dxa" w:w="67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API 키·자격증명·소유자 정보는 모델 입력과 로그에서 제외</w:t>
            </w:r>
          </w:p>
        </w:tc>
      </w:tr>
      <w:tr>
        <w:tc>
          <w:tcPr>
            <w:tcW w:type="dxa" w:w="26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캐시</w:t>
            </w:r>
          </w:p>
        </w:tc>
        <w:tc>
          <w:tcPr>
            <w:tcW w:type="dxa" w:w="67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동일 발행본·모델·프롬프트는 최초 생성 후 저장결과 재사용</w:t>
            </w:r>
          </w:p>
        </w:tc>
      </w:tr>
      <w:tr>
        <w:tc>
          <w:tcPr>
            <w:tcW w:type="dxa" w:w="26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호출 실패</w:t>
            </w:r>
          </w:p>
        </w:tc>
        <w:tc>
          <w:tcPr>
            <w:tcW w:type="dxa" w:w="67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동일한 8개 절 구조의 검증 규칙 기반 보고서로 대체</w:t>
            </w:r>
          </w:p>
        </w:tc>
      </w:tr>
      <w:tr>
        <w:tc>
          <w:tcPr>
            <w:tcW w:type="dxa" w:w="26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운영 확인</w:t>
            </w:r>
          </w:p>
        </w:tc>
        <w:tc>
          <w:tcPr>
            <w:tcW w:type="dxa" w:w="67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2026.08.23 OpenAI 보고서 8개 절·근거 30건 생성, 재호출 캐시 확인</w:t>
            </w:r>
          </w:p>
        </w:tc>
      </w:tr>
    </w:tbl>
    <w:p>
      <w:pPr>
        <w:spacing w:before="200" w:after="40"/>
      </w:pPr>
      <w:r>
        <w:rPr>
          <w:rFonts w:ascii="맑은 고딕" w:hAnsi="맑은 고딕" w:eastAsia="맑은 고딕" w:cs="맑은 고딕"/>
          <w:b/>
          <w:color w:val="1769E0"/>
          <w:sz w:val="17"/>
        </w:rPr>
        <w:t>QUALITY AND OPERATIONS</w:t>
      </w:r>
    </w:p>
    <w:p>
      <w:pPr>
        <w:pStyle w:val="Heading1"/>
        <w:keepNext/>
      </w:pPr>
      <w:r>
        <w:rPr>
          <w:rFonts w:ascii="맑은 고딕" w:hAnsi="맑은 고딕" w:eastAsia="맑은 고딕" w:cs="맑은 고딕"/>
        </w:rPr>
        <w:t>9. 품질관리·배포·운영</w:t>
      </w:r>
    </w:p>
    <w:p>
      <w:pPr>
        <w:pStyle w:val="Heading2"/>
        <w:keepNext/>
      </w:pPr>
      <w:r>
        <w:rPr>
          <w:rFonts w:ascii="맑은 고딕" w:hAnsi="맑은 고딕" w:eastAsia="맑은 고딕" w:cs="맑은 고딕"/>
        </w:rPr>
        <w:t>데이터 품질 원칙</w:t>
      </w:r>
    </w:p>
    <w:p>
      <w:pPr>
        <w:pStyle w:val="ListBullet"/>
        <w:spacing w:after="80" w:line="300" w:lineRule="auto"/>
        <w:ind w:left="540" w:hanging="271"/>
      </w:pPr>
      <w:r>
        <w:rPr>
          <w:rFonts w:ascii="맑은 고딕" w:hAnsi="맑은 고딕" w:eastAsia="맑은 고딕" w:cs="맑은 고딕"/>
          <w:color w:val="101828"/>
          <w:sz w:val="20"/>
        </w:rPr>
        <w:t>검증된 COMPLETED 실행만 현재 발행본으로 전환</w:t>
      </w:r>
    </w:p>
    <w:p>
      <w:pPr>
        <w:pStyle w:val="ListBullet"/>
        <w:spacing w:after="80" w:line="300" w:lineRule="auto"/>
        <w:ind w:left="540" w:hanging="271"/>
      </w:pPr>
      <w:r>
        <w:rPr>
          <w:rFonts w:ascii="맑은 고딕" w:hAnsi="맑은 고딕" w:eastAsia="맑은 고딕" w:cs="맑은 고딕"/>
          <w:color w:val="101828"/>
          <w:sz w:val="20"/>
        </w:rPr>
        <w:t>원문 해시, 스키마 지문, 행수, 구군 구성, 시간버전과 fact membership 검증</w:t>
      </w:r>
    </w:p>
    <w:p>
      <w:pPr>
        <w:pStyle w:val="ListBullet"/>
        <w:spacing w:after="80" w:line="300" w:lineRule="auto"/>
        <w:ind w:left="540" w:hanging="271"/>
      </w:pPr>
      <w:r>
        <w:rPr>
          <w:rFonts w:ascii="맑은 고딕" w:hAnsi="맑은 고딕" w:eastAsia="맑은 고딕" w:cs="맑은 고딕"/>
          <w:color w:val="101828"/>
          <w:sz w:val="20"/>
        </w:rPr>
        <w:t>NULL을 0으로 바꾸지 않고 분모·자료보유범위·기준기간을 함께 보존</w:t>
      </w:r>
    </w:p>
    <w:p>
      <w:pPr>
        <w:pStyle w:val="ListBullet"/>
        <w:spacing w:after="80" w:line="300" w:lineRule="auto"/>
        <w:ind w:left="540" w:hanging="271"/>
      </w:pPr>
      <w:r>
        <w:rPr>
          <w:rFonts w:ascii="맑은 고딕" w:hAnsi="맑은 고딕" w:eastAsia="맑은 고딕" w:cs="맑은 고딕"/>
          <w:color w:val="101828"/>
          <w:sz w:val="20"/>
        </w:rPr>
        <w:t>지도·KPI·AI가 같은 core·spatial·vacant 발행본을 사용</w:t>
      </w:r>
    </w:p>
    <w:p>
      <w:pPr>
        <w:pStyle w:val="ListBullet"/>
        <w:spacing w:after="80" w:line="300" w:lineRule="auto"/>
        <w:ind w:left="540" w:hanging="271"/>
      </w:pPr>
      <w:r>
        <w:rPr>
          <w:rFonts w:ascii="맑은 고딕" w:hAnsi="맑은 고딕" w:eastAsia="맑은 고딕" w:cs="맑은 고딕"/>
          <w:color w:val="101828"/>
          <w:sz w:val="20"/>
        </w:rPr>
        <w:t>게시 실패 시 직전 정상 릴리스를 유지하는 원자적 symlink 배포</w:t>
      </w:r>
    </w:p>
    <w:p>
      <w:pPr>
        <w:pStyle w:val="Heading2"/>
        <w:keepNext/>
      </w:pPr>
      <w:r>
        <w:rPr>
          <w:rFonts w:ascii="맑은 고딕" w:hAnsi="맑은 고딕" w:eastAsia="맑은 고딕" w:cs="맑은 고딕"/>
        </w:rPr>
        <w:t>운영 분리</w:t>
      </w:r>
    </w:p>
    <w:p>
      <w:pPr>
        <w:spacing w:after="120" w:line="300" w:lineRule="auto"/>
      </w:pPr>
      <w:r>
        <w:rPr>
          <w:rFonts w:ascii="맑은 고딕" w:hAnsi="맑은 고딕" w:eastAsia="맑은 고딕" w:cs="맑은 고딕"/>
          <w:color w:val="101828"/>
          <w:sz w:val="21"/>
        </w:rPr>
        <w:t>관광 정적 UI와 관광 AI 서비스는 기존 공공계약·지역상품·신용보증·민생100일 서비스와 분리 배포합니다. AI 장애 시 관광 UI와 기존 서비스는 계속 제공되며, 관광 AI만 재시작하거나 직전 릴리스로 롤백할 수 있습니다.</w:t>
      </w:r>
    </w:p>
    <w:tbl>
      <w:tblPr>
        <w:tblStyle w:val="TableGrid"/>
        <w:tblW w:type="dxa" w:w="9360"/>
        <w:jc w:val="left"/>
        <w:tblLayout w:type="fixed"/>
        <w:tblLook w:firstColumn="1" w:firstRow="1" w:lastColumn="0" w:lastRow="0" w:noHBand="0" w:noVBand="1" w:val="04A0"/>
        <w:tblInd w:w="120" w:type="dxa"/>
      </w:tblPr>
      <w:tblGrid>
        <w:gridCol w:w="3300"/>
        <w:gridCol w:w="1500"/>
        <w:gridCol w:w="4560"/>
      </w:tblGrid>
      <w:tr>
        <w:trPr>
          <w:tblHeader w:val="true"/>
        </w:trPr>
        <w:tc>
          <w:tcPr>
            <w:tcW w:type="dxa" w:w="3300"/>
            <w:vAlign w:val="center"/>
            <w:tcMar>
              <w:top w:w="90" w:type="dxa"/>
              <w:start w:w="120" w:type="dxa"/>
              <w:bottom w:w="90" w:type="dxa"/>
              <w:end w:w="120" w:type="dxa"/>
            </w:tcMar>
            <w:shd w:fill="0E8792"/>
          </w:tcPr>
          <w:p>
            <w:pPr>
              <w:spacing w:before="0" w:after="40" w:line="276" w:lineRule="auto"/>
            </w:pPr>
            <w:r>
              <w:rPr>
                <w:rFonts w:ascii="맑은 고딕" w:hAnsi="맑은 고딕" w:eastAsia="맑은 고딕" w:cs="맑은 고딕"/>
                <w:b/>
                <w:color w:val="FFFFFF"/>
                <w:sz w:val="18"/>
              </w:rPr>
              <w:t>검증 항목</w:t>
            </w:r>
          </w:p>
        </w:tc>
        <w:tc>
          <w:tcPr>
            <w:tcW w:type="dxa" w:w="1500"/>
            <w:vAlign w:val="center"/>
            <w:tcMar>
              <w:top w:w="90" w:type="dxa"/>
              <w:start w:w="120" w:type="dxa"/>
              <w:bottom w:w="90" w:type="dxa"/>
              <w:end w:w="120" w:type="dxa"/>
            </w:tcMar>
            <w:shd w:fill="0E8792"/>
          </w:tcPr>
          <w:p>
            <w:pPr>
              <w:spacing w:before="0" w:after="40" w:line="276" w:lineRule="auto"/>
            </w:pPr>
            <w:r>
              <w:rPr>
                <w:rFonts w:ascii="맑은 고딕" w:hAnsi="맑은 고딕" w:eastAsia="맑은 고딕" w:cs="맑은 고딕"/>
                <w:b/>
                <w:color w:val="FFFFFF"/>
                <w:sz w:val="18"/>
              </w:rPr>
              <w:t>결과</w:t>
            </w:r>
          </w:p>
        </w:tc>
        <w:tc>
          <w:tcPr>
            <w:tcW w:type="dxa" w:w="4560"/>
            <w:vAlign w:val="center"/>
            <w:tcMar>
              <w:top w:w="90" w:type="dxa"/>
              <w:start w:w="120" w:type="dxa"/>
              <w:bottom w:w="90" w:type="dxa"/>
              <w:end w:w="120" w:type="dxa"/>
            </w:tcMar>
            <w:shd w:fill="0E8792"/>
          </w:tcPr>
          <w:p>
            <w:pPr>
              <w:spacing w:before="0" w:after="40" w:line="276" w:lineRule="auto"/>
            </w:pPr>
            <w:r>
              <w:rPr>
                <w:rFonts w:ascii="맑은 고딕" w:hAnsi="맑은 고딕" w:eastAsia="맑은 고딕" w:cs="맑은 고딕"/>
                <w:b/>
                <w:color w:val="FFFFFF"/>
                <w:sz w:val="18"/>
              </w:rPr>
              <w:t>확인 기준</w:t>
            </w:r>
          </w:p>
        </w:tc>
      </w:tr>
      <w:tr>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대시보드</w:t>
            </w:r>
          </w:p>
        </w:tc>
        <w:tc>
          <w:tcPr>
            <w:tcW w:type="dxa" w:w="15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완료</w:t>
            </w:r>
          </w:p>
        </w:tc>
        <w:tc>
          <w:tcPr>
            <w:tcW w:type="dxa" w:w="45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운영 URL HTTP 200</w:t>
            </w:r>
          </w:p>
        </w:tc>
      </w:tr>
      <w:tr>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투자정보 지도</w:t>
            </w:r>
          </w:p>
        </w:tc>
        <w:tc>
          <w:tcPr>
            <w:tcW w:type="dxa" w:w="15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완료</w:t>
            </w:r>
          </w:p>
        </w:tc>
        <w:tc>
          <w:tcPr>
            <w:tcW w:type="dxa" w:w="45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VWorld 타일·시설·거점 선택</w:t>
            </w:r>
          </w:p>
        </w:tc>
      </w:tr>
      <w:tr>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빈집 지도</w:t>
            </w:r>
          </w:p>
        </w:tc>
        <w:tc>
          <w:tcPr>
            <w:tcW w:type="dxa" w:w="15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완료</w:t>
            </w:r>
          </w:p>
        </w:tc>
        <w:tc>
          <w:tcPr>
            <w:tcW w:type="dxa" w:w="45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필지·주소·후보군 표출</w:t>
            </w:r>
          </w:p>
        </w:tc>
      </w:tr>
      <w:tr>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AI 종합보고서</w:t>
            </w:r>
          </w:p>
        </w:tc>
        <w:tc>
          <w:tcPr>
            <w:tcW w:type="dxa" w:w="15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완료</w:t>
            </w:r>
          </w:p>
        </w:tc>
        <w:tc>
          <w:tcPr>
            <w:tcW w:type="dxa" w:w="45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OpenAI 8개 절·근거 30건</w:t>
            </w:r>
          </w:p>
        </w:tc>
      </w:tr>
      <w:tr>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AI 캐시</w:t>
            </w:r>
          </w:p>
        </w:tc>
        <w:tc>
          <w:tcPr>
            <w:tcW w:type="dxa" w:w="15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완료</w:t>
            </w:r>
          </w:p>
        </w:tc>
        <w:tc>
          <w:tcPr>
            <w:tcW w:type="dxa" w:w="45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동일 발행본 재호출 cached=true</w:t>
            </w:r>
          </w:p>
        </w:tc>
      </w:tr>
      <w:tr>
        <w:tc>
          <w:tcPr>
            <w:tcW w:type="dxa" w:w="33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기존 서비스 회귀</w:t>
            </w:r>
          </w:p>
        </w:tc>
        <w:tc>
          <w:tcPr>
            <w:tcW w:type="dxa" w:w="150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완료</w:t>
            </w:r>
          </w:p>
        </w:tc>
        <w:tc>
          <w:tcPr>
            <w:tcW w:type="dxa" w:w="4560"/>
            <w:vAlign w:val="center"/>
            <w:tcMar>
              <w:top w:w="90" w:type="dxa"/>
              <w:start w:w="120" w:type="dxa"/>
              <w:bottom w:w="90" w:type="dxa"/>
              <w:end w:w="120" w:type="dxa"/>
            </w:tcMar>
            <w:shd w:fill="FFFFFF"/>
          </w:tcPr>
          <w:p>
            <w:pPr>
              <w:spacing w:before="0" w:after="40" w:line="276" w:lineRule="auto"/>
            </w:pPr>
            <w:r>
              <w:rPr>
                <w:rFonts w:ascii="맑은 고딕" w:hAnsi="맑은 고딕" w:eastAsia="맑은 고딕" w:cs="맑은 고딕"/>
                <w:b w:val="0"/>
                <w:color w:val="101828"/>
                <w:sz w:val="18"/>
              </w:rPr>
              <w:t>공개 URL 12개 모두 HTTP 200</w:t>
            </w:r>
          </w:p>
        </w:tc>
      </w:tr>
    </w:tbl>
    <w:p>
      <w:pPr>
        <w:spacing w:before="200" w:after="40"/>
      </w:pPr>
      <w:r>
        <w:rPr>
          <w:rFonts w:ascii="맑은 고딕" w:hAnsi="맑은 고딕" w:eastAsia="맑은 고딕" w:cs="맑은 고딕"/>
          <w:b/>
          <w:color w:val="1769E0"/>
          <w:sz w:val="17"/>
        </w:rPr>
        <w:t>HOW TO USE</w:t>
      </w:r>
    </w:p>
    <w:p>
      <w:pPr>
        <w:pStyle w:val="Heading1"/>
        <w:keepNext/>
      </w:pPr>
      <w:r>
        <w:rPr>
          <w:rFonts w:ascii="맑은 고딕" w:hAnsi="맑은 고딕" w:eastAsia="맑은 고딕" w:cs="맑은 고딕"/>
        </w:rPr>
        <w:t>10. 사용자 활용 절차</w:t>
      </w:r>
    </w:p>
    <w:p>
      <w:pPr>
        <w:spacing w:after="80" w:line="300" w:lineRule="auto"/>
        <w:ind w:left="540" w:hanging="271"/>
      </w:pPr>
      <w:r>
        <w:rPr>
          <w:rFonts w:ascii="맑은 고딕" w:hAnsi="맑은 고딕" w:eastAsia="맑은 고딕" w:cs="맑은 고딕"/>
          <w:b/>
          <w:color w:val="101828"/>
          <w:sz w:val="20"/>
        </w:rPr>
        <w:t xml:space="preserve">1.  </w:t>
      </w:r>
      <w:r>
        <w:rPr>
          <w:rFonts w:ascii="맑은 고딕" w:hAnsi="맑은 고딕" w:eastAsia="맑은 고딕" w:cs="맑은 고딕"/>
          <w:color w:val="101828"/>
          <w:sz w:val="20"/>
        </w:rPr>
        <w:t>종합현황에서 서부산의 수요·공급·노후·신규등록 신호를 확인합니다.</w:t>
      </w:r>
    </w:p>
    <w:p>
      <w:pPr>
        <w:spacing w:after="80" w:line="300" w:lineRule="auto"/>
        <w:ind w:left="540" w:hanging="271"/>
      </w:pPr>
      <w:r>
        <w:rPr>
          <w:rFonts w:ascii="맑은 고딕" w:hAnsi="맑은 고딕" w:eastAsia="맑은 고딕" w:cs="맑은 고딕"/>
          <w:b/>
          <w:color w:val="101828"/>
          <w:sz w:val="20"/>
        </w:rPr>
        <w:t xml:space="preserve">2.  </w:t>
      </w:r>
      <w:r>
        <w:rPr>
          <w:rFonts w:ascii="맑은 고딕" w:hAnsi="맑은 고딕" w:eastAsia="맑은 고딕" w:cs="맑은 고딕"/>
          <w:color w:val="101828"/>
          <w:sz w:val="20"/>
        </w:rPr>
        <w:t>서부산 자치구 현황에서 강서·사하·북구·사상구를 해운대구와 비교합니다.</w:t>
      </w:r>
    </w:p>
    <w:p>
      <w:pPr>
        <w:spacing w:after="80" w:line="300" w:lineRule="auto"/>
        <w:ind w:left="540" w:hanging="271"/>
      </w:pPr>
      <w:r>
        <w:rPr>
          <w:rFonts w:ascii="맑은 고딕" w:hAnsi="맑은 고딕" w:eastAsia="맑은 고딕" w:cs="맑은 고딕"/>
          <w:b/>
          <w:color w:val="101828"/>
          <w:sz w:val="20"/>
        </w:rPr>
        <w:t xml:space="preserve">3.  </w:t>
      </w:r>
      <w:r>
        <w:rPr>
          <w:rFonts w:ascii="맑은 고딕" w:hAnsi="맑은 고딕" w:eastAsia="맑은 고딕" w:cs="맑은 고딕"/>
          <w:color w:val="101828"/>
          <w:sz w:val="20"/>
        </w:rPr>
        <w:t>동서 공급격차에서 등록유형과 관광수용 역량의 구조적 차이를 확인합니다.</w:t>
      </w:r>
    </w:p>
    <w:p>
      <w:pPr>
        <w:spacing w:after="80" w:line="300" w:lineRule="auto"/>
        <w:ind w:left="540" w:hanging="271"/>
      </w:pPr>
      <w:r>
        <w:rPr>
          <w:rFonts w:ascii="맑은 고딕" w:hAnsi="맑은 고딕" w:eastAsia="맑은 고딕" w:cs="맑은 고딕"/>
          <w:b/>
          <w:color w:val="101828"/>
          <w:sz w:val="20"/>
        </w:rPr>
        <w:t xml:space="preserve">4.  </w:t>
      </w:r>
      <w:r>
        <w:rPr>
          <w:rFonts w:ascii="맑은 고딕" w:hAnsi="맑은 고딕" w:eastAsia="맑은 고딕" w:cs="맑은 고딕"/>
          <w:color w:val="101828"/>
          <w:sz w:val="20"/>
        </w:rPr>
        <w:t>투자정보 지도에서 신규공급·리모델링·수요부족·밀집도 레이어를 선택합니다.</w:t>
      </w:r>
    </w:p>
    <w:p>
      <w:pPr>
        <w:spacing w:after="80" w:line="300" w:lineRule="auto"/>
        <w:ind w:left="540" w:hanging="271"/>
      </w:pPr>
      <w:r>
        <w:rPr>
          <w:rFonts w:ascii="맑은 고딕" w:hAnsi="맑은 고딕" w:eastAsia="맑은 고딕" w:cs="맑은 고딕"/>
          <w:b/>
          <w:color w:val="101828"/>
          <w:sz w:val="20"/>
        </w:rPr>
        <w:t xml:space="preserve">5.  </w:t>
      </w:r>
      <w:r>
        <w:rPr>
          <w:rFonts w:ascii="맑은 고딕" w:hAnsi="맑은 고딕" w:eastAsia="맑은 고딕" w:cs="맑은 고딕"/>
          <w:color w:val="101828"/>
          <w:sz w:val="20"/>
        </w:rPr>
        <w:t>거점 또는 숙박시설을 선택하고 AI 투자해석으로 정책검토 포인트를 정리합니다.</w:t>
      </w:r>
    </w:p>
    <w:p>
      <w:pPr>
        <w:spacing w:after="80" w:line="300" w:lineRule="auto"/>
        <w:ind w:left="540" w:hanging="271"/>
      </w:pPr>
      <w:r>
        <w:rPr>
          <w:rFonts w:ascii="맑은 고딕" w:hAnsi="맑은 고딕" w:eastAsia="맑은 고딕" w:cs="맑은 고딕"/>
          <w:b/>
          <w:color w:val="101828"/>
          <w:sz w:val="20"/>
        </w:rPr>
        <w:t xml:space="preserve">6.  </w:t>
      </w:r>
      <w:r>
        <w:rPr>
          <w:rFonts w:ascii="맑은 고딕" w:hAnsi="맑은 고딕" w:eastAsia="맑은 고딕" w:cs="맑은 고딕"/>
          <w:color w:val="101828"/>
          <w:sz w:val="20"/>
        </w:rPr>
        <w:t>빈집 지도에서 연속 필지군과 개별 주소를 확대 확인하고 주소분석을 실행합니다.</w:t>
      </w:r>
    </w:p>
    <w:p>
      <w:pPr>
        <w:spacing w:after="80" w:line="300" w:lineRule="auto"/>
        <w:ind w:left="540" w:hanging="271"/>
      </w:pPr>
      <w:r>
        <w:rPr>
          <w:rFonts w:ascii="맑은 고딕" w:hAnsi="맑은 고딕" w:eastAsia="맑은 고딕" w:cs="맑은 고딕"/>
          <w:b/>
          <w:color w:val="101828"/>
          <w:sz w:val="20"/>
        </w:rPr>
        <w:t xml:space="preserve">7.  </w:t>
      </w:r>
      <w:r>
        <w:rPr>
          <w:rFonts w:ascii="맑은 고딕" w:hAnsi="맑은 고딕" w:eastAsia="맑은 고딕" w:cs="맑은 고딕"/>
          <w:color w:val="101828"/>
          <w:sz w:val="20"/>
        </w:rPr>
        <w:t>AI 종합분석에서 발행본 기반 보고서를 생성·인쇄해 보고서 초안으로 활용합니다.</w:t>
      </w:r>
    </w:p>
    <w:p>
      <w:pPr>
        <w:pStyle w:val="Heading2"/>
        <w:keepNext/>
      </w:pPr>
      <w:r>
        <w:rPr>
          <w:rFonts w:ascii="맑은 고딕" w:hAnsi="맑은 고딕" w:eastAsia="맑은 고딕" w:cs="맑은 고딕"/>
        </w:rPr>
        <w:t>정책보고서 활용 문장</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AF2FF"/>
          </w:tcPr>
          <w:p>
            <w:pPr>
              <w:spacing w:before="60" w:after="60" w:line="288" w:lineRule="auto"/>
            </w:pPr>
            <w:r>
              <w:rPr>
                <w:rFonts w:ascii="맑은 고딕" w:hAnsi="맑은 고딕" w:eastAsia="맑은 고딕" w:cs="맑은 고딕"/>
                <w:b/>
                <w:color w:val="1769E0"/>
                <w:sz w:val="20"/>
              </w:rPr>
              <w:t xml:space="preserve">권장 결론  </w:t>
            </w:r>
            <w:r>
              <w:rPr>
                <w:rFonts w:ascii="맑은 고딕" w:hAnsi="맑은 고딕" w:eastAsia="맑은 고딕" w:cs="맑은 고딕"/>
                <w:color w:val="101828"/>
                <w:sz w:val="20"/>
              </w:rPr>
              <w:t>부산에 관광수요가 없는 것이 아니라, 그 수요가 서부산의 체류·숙박·소비로 충분히 전환되지 못하고 있습니다. 관광자원의 단순 확충보다 신규 관광숙박 공급, 노후시설 리모델링, 연속 빈집 필지군 전환과 콘텐츠 투자를 거점별로 결합할 필요가 있습니다.</w:t>
            </w:r>
          </w:p>
        </w:tc>
      </w:tr>
    </w:tbl>
    <w:p>
      <w:pPr>
        <w:spacing w:after="80"/>
      </w:pPr>
    </w:p>
    <w:p>
      <w:pPr>
        <w:spacing w:before="200" w:after="40"/>
      </w:pPr>
      <w:r>
        <w:rPr>
          <w:rFonts w:ascii="맑은 고딕" w:hAnsi="맑은 고딕" w:eastAsia="맑은 고딕" w:cs="맑은 고딕"/>
          <w:b/>
          <w:color w:val="1769E0"/>
          <w:sz w:val="17"/>
        </w:rPr>
        <w:t>INTERPRETATION BOUNDARIES</w:t>
      </w:r>
    </w:p>
    <w:p>
      <w:pPr>
        <w:pStyle w:val="Heading1"/>
        <w:keepNext/>
      </w:pPr>
      <w:r>
        <w:rPr>
          <w:rFonts w:ascii="맑은 고딕" w:hAnsi="맑은 고딕" w:eastAsia="맑은 고딕" w:cs="맑은 고딕"/>
        </w:rPr>
        <w:t>11. 해석 범위와 후속 검토</w:t>
      </w:r>
    </w:p>
    <w:p>
      <w:pPr>
        <w:spacing w:after="120" w:line="300" w:lineRule="auto"/>
      </w:pPr>
      <w:r>
        <w:rPr>
          <w:rFonts w:ascii="맑은 고딕" w:hAnsi="맑은 고딕" w:eastAsia="맑은 고딕" w:cs="맑은 고딕"/>
          <w:color w:val="101828"/>
          <w:sz w:val="21"/>
        </w:rPr>
        <w:t>대시보드는 정책검토 착수 순서를 제시하는 분석시스템이며 지원 자격, 인허가, 투자 적합성이나 수익성을 자동 확정하지 않습니다. 기능 구현은 완료됐지만 정책판단 전 다음 사항은 개별 확인이 필요합니다.</w:t>
      </w:r>
    </w:p>
    <w:p>
      <w:pPr>
        <w:pStyle w:val="ListBullet"/>
        <w:spacing w:after="80" w:line="300" w:lineRule="auto"/>
        <w:ind w:left="540" w:hanging="271"/>
      </w:pPr>
      <w:r>
        <w:rPr>
          <w:rFonts w:ascii="맑은 고딕" w:hAnsi="맑은 고딕" w:eastAsia="맑은 고딕" w:cs="맑은 고딕"/>
          <w:color w:val="101828"/>
          <w:sz w:val="20"/>
        </w:rPr>
        <w:t>객실 총량은 행정원천에서 객실 수가 확인된 시설 기준이며 권역별 자료보유범위가 다름</w:t>
      </w:r>
    </w:p>
    <w:p>
      <w:pPr>
        <w:pStyle w:val="ListBullet"/>
        <w:spacing w:after="80" w:line="300" w:lineRule="auto"/>
        <w:ind w:left="540" w:hanging="271"/>
      </w:pPr>
      <w:r>
        <w:rPr>
          <w:rFonts w:ascii="맑은 고딕" w:hAnsi="맑은 고딕" w:eastAsia="맑은 고딕" w:cs="맑은 고딕"/>
          <w:color w:val="101828"/>
          <w:sz w:val="20"/>
        </w:rPr>
        <w:t>건축연령은 건축물대장 사용승인일 기준으로 내부 리모델링 상태를 의미하지 않음</w:t>
      </w:r>
    </w:p>
    <w:p>
      <w:pPr>
        <w:pStyle w:val="ListBullet"/>
        <w:spacing w:after="80" w:line="300" w:lineRule="auto"/>
        <w:ind w:left="540" w:hanging="271"/>
      </w:pPr>
      <w:r>
        <w:rPr>
          <w:rFonts w:ascii="맑은 고딕" w:hAnsi="맑은 고딕" w:eastAsia="맑은 고딕" w:cs="맑은 고딕"/>
          <w:color w:val="101828"/>
          <w:sz w:val="20"/>
        </w:rPr>
        <w:t>최근 숙박업 등록은 현재 영업시설의 최초 인허가일 기준이며 투자액 자체가 아님</w:t>
      </w:r>
    </w:p>
    <w:p>
      <w:pPr>
        <w:pStyle w:val="ListBullet"/>
        <w:spacing w:after="80" w:line="300" w:lineRule="auto"/>
        <w:ind w:left="540" w:hanging="271"/>
      </w:pPr>
      <w:r>
        <w:rPr>
          <w:rFonts w:ascii="맑은 고딕" w:hAnsi="맑은 고딕" w:eastAsia="맑은 고딕" w:cs="맑은 고딕"/>
          <w:color w:val="101828"/>
          <w:sz w:val="20"/>
        </w:rPr>
        <w:t>관광소비는 상대지표로 원화 금액·점유율·실제 1인당 지출액으로 해석하지 않음</w:t>
      </w:r>
    </w:p>
    <w:p>
      <w:pPr>
        <w:pStyle w:val="ListBullet"/>
        <w:spacing w:after="80" w:line="300" w:lineRule="auto"/>
        <w:ind w:left="540" w:hanging="271"/>
      </w:pPr>
      <w:r>
        <w:rPr>
          <w:rFonts w:ascii="맑은 고딕" w:hAnsi="맑은 고딕" w:eastAsia="맑은 고딕" w:cs="맑은 고딕"/>
          <w:color w:val="101828"/>
          <w:sz w:val="20"/>
        </w:rPr>
        <w:t>빈집 후보는 물리적 연속성의 1차 결과이며 소유권·토지이용·구조안전·접도·소방·주차·위생·사업성은 별도 실사</w:t>
      </w:r>
    </w:p>
    <w:p>
      <w:pPr>
        <w:pStyle w:val="ListBullet"/>
        <w:spacing w:after="80" w:line="300" w:lineRule="auto"/>
        <w:ind w:left="540" w:hanging="271"/>
      </w:pPr>
      <w:r>
        <w:rPr>
          <w:rFonts w:ascii="맑은 고딕" w:hAnsi="맑은 고딕" w:eastAsia="맑은 고딕" w:cs="맑은 고딕"/>
          <w:color w:val="101828"/>
          <w:sz w:val="20"/>
        </w:rPr>
        <w:t>교통 fact와 체류시간은 현재 대시보드 발행범위에 포함하지 않으며 확보 후 별도 지표로 확장</w:t>
      </w:r>
    </w:p>
    <w:p>
      <w:pPr>
        <w:spacing w:before="200" w:after="40"/>
      </w:pPr>
      <w:r>
        <w:rPr>
          <w:rFonts w:ascii="맑은 고딕" w:hAnsi="맑은 고딕" w:eastAsia="맑은 고딕" w:cs="맑은 고딕"/>
          <w:b/>
          <w:color w:val="1769E0"/>
          <w:sz w:val="17"/>
        </w:rPr>
        <w:t>ACCESS AND SOURCES</w:t>
      </w:r>
    </w:p>
    <w:p>
      <w:pPr>
        <w:pStyle w:val="Heading1"/>
        <w:keepNext/>
      </w:pPr>
      <w:r>
        <w:rPr>
          <w:rFonts w:ascii="맑은 고딕" w:hAnsi="맑은 고딕" w:eastAsia="맑은 고딕" w:cs="맑은 고딕"/>
        </w:rPr>
        <w:t>12. 접속정보와 주요 출처</w:t>
      </w:r>
    </w:p>
    <w:p>
      <w:pPr>
        <w:spacing w:after="100"/>
      </w:pPr>
      <w:r>
        <w:rPr>
          <w:rFonts w:ascii="맑은 고딕" w:hAnsi="맑은 고딕" w:eastAsia="맑은 고딕" w:cs="맑은 고딕"/>
          <w:b/>
          <w:color w:val="101828"/>
          <w:sz w:val="20"/>
        </w:rPr>
        <w:t xml:space="preserve">운영 대시보드: </w:t>
      </w:r>
      <w:hyperlink r:id="rId11">
        <w:r>
          <w:rPr>
            <w:rFonts w:ascii="맑은 고딕" w:hAnsi="맑은 고딕" w:eastAsia="맑은 고딕" w:cs="맑은 고딕"/>
            <w:color w:val="1769E0"/>
            <w:u w:val="single"/>
          </w:rPr>
          <w:t>https://busanproduct.co.kr/tourism/</w:t>
        </w:r>
      </w:hyperlink>
    </w:p>
    <w:p>
      <w:pPr>
        <w:spacing w:after="100"/>
      </w:pPr>
      <w:r>
        <w:rPr>
          <w:rFonts w:ascii="맑은 고딕" w:hAnsi="맑은 고딕" w:eastAsia="맑은 고딕" w:cs="맑은 고딕"/>
          <w:b/>
          <w:color w:val="101828"/>
          <w:sz w:val="20"/>
        </w:rPr>
        <w:t xml:space="preserve">투자정보 공간지도: </w:t>
      </w:r>
      <w:hyperlink r:id="rId12">
        <w:r>
          <w:rPr>
            <w:rFonts w:ascii="맑은 고딕" w:hAnsi="맑은 고딕" w:eastAsia="맑은 고딕" w:cs="맑은 고딕"/>
            <w:color w:val="1769E0"/>
            <w:u w:val="single"/>
          </w:rPr>
          <w:t>https://busanproduct.co.kr/tourism/map/index.html</w:t>
        </w:r>
      </w:hyperlink>
    </w:p>
    <w:p>
      <w:pPr>
        <w:spacing w:after="100"/>
      </w:pPr>
      <w:r>
        <w:rPr>
          <w:rFonts w:ascii="맑은 고딕" w:hAnsi="맑은 고딕" w:eastAsia="맑은 고딕" w:cs="맑은 고딕"/>
          <w:b/>
          <w:color w:val="101828"/>
          <w:sz w:val="20"/>
        </w:rPr>
        <w:t xml:space="preserve">빈집 운영지도: </w:t>
      </w:r>
      <w:hyperlink r:id="rId13">
        <w:r>
          <w:rPr>
            <w:rFonts w:ascii="맑은 고딕" w:hAnsi="맑은 고딕" w:eastAsia="맑은 고딕" w:cs="맑은 고딕"/>
            <w:color w:val="1769E0"/>
            <w:u w:val="single"/>
          </w:rPr>
          <w:t>https://busanproduct.co.kr/tourism/vacant-map/index.html</w:t>
        </w:r>
      </w:hyperlink>
    </w:p>
    <w:p>
      <w:pPr>
        <w:spacing w:after="100"/>
      </w:pPr>
      <w:r>
        <w:rPr>
          <w:rFonts w:ascii="맑은 고딕" w:hAnsi="맑은 고딕" w:eastAsia="맑은 고딕" w:cs="맑은 고딕"/>
          <w:b/>
          <w:color w:val="101828"/>
          <w:sz w:val="20"/>
        </w:rPr>
        <w:t xml:space="preserve">한국관광공사 지역별 관광수요강도 OpenAPI: </w:t>
      </w:r>
      <w:hyperlink r:id="rId14">
        <w:r>
          <w:rPr>
            <w:rFonts w:ascii="맑은 고딕" w:hAnsi="맑은 고딕" w:eastAsia="맑은 고딕" w:cs="맑은 고딕"/>
            <w:color w:val="1769E0"/>
            <w:u w:val="single"/>
          </w:rPr>
          <w:t>https://www.data.go.kr/data/15151868/openapi.do</w:t>
        </w:r>
      </w:hyperlink>
    </w:p>
    <w:p>
      <w:pPr>
        <w:spacing w:after="100"/>
      </w:pPr>
      <w:r>
        <w:rPr>
          <w:rFonts w:ascii="맑은 고딕" w:hAnsi="맑은 고딕" w:eastAsia="맑은 고딕" w:cs="맑은 고딕"/>
          <w:b/>
          <w:color w:val="101828"/>
          <w:sz w:val="20"/>
        </w:rPr>
        <w:t xml:space="preserve">한국관광 데이터랩: </w:t>
      </w:r>
      <w:hyperlink r:id="rId15">
        <w:r>
          <w:rPr>
            <w:rFonts w:ascii="맑은 고딕" w:hAnsi="맑은 고딕" w:eastAsia="맑은 고딕" w:cs="맑은 고딕"/>
            <w:color w:val="1769E0"/>
            <w:u w:val="single"/>
          </w:rPr>
          <w:t>https://datalab.visitkorea.or.kr/</w:t>
        </w:r>
      </w:hyperlink>
    </w:p>
    <w:p>
      <w:pPr>
        <w:spacing w:after="100"/>
      </w:pPr>
      <w:r>
        <w:rPr>
          <w:rFonts w:ascii="맑은 고딕" w:hAnsi="맑은 고딕" w:eastAsia="맑은 고딕" w:cs="맑은 고딕"/>
          <w:b/>
          <w:color w:val="101828"/>
          <w:sz w:val="20"/>
        </w:rPr>
        <w:t xml:space="preserve">VWorld 디지털트윈국토: </w:t>
      </w:r>
      <w:hyperlink r:id="rId16">
        <w:r>
          <w:rPr>
            <w:rFonts w:ascii="맑은 고딕" w:hAnsi="맑은 고딕" w:eastAsia="맑은 고딕" w:cs="맑은 고딕"/>
            <w:color w:val="1769E0"/>
            <w:u w:val="single"/>
          </w:rPr>
          <w:t>https://www.vworld.kr/</w:t>
        </w:r>
      </w:hyperlink>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E8F6F7"/>
          </w:tcPr>
          <w:p>
            <w:pPr>
              <w:spacing w:before="60" w:after="60" w:line="288" w:lineRule="auto"/>
            </w:pPr>
            <w:r>
              <w:rPr>
                <w:rFonts w:ascii="맑은 고딕" w:hAnsi="맑은 고딕" w:eastAsia="맑은 고딕" w:cs="맑은 고딕"/>
                <w:b/>
                <w:color w:val="1769E0"/>
                <w:sz w:val="20"/>
              </w:rPr>
              <w:t xml:space="preserve">운영 상태  </w:t>
            </w:r>
            <w:r>
              <w:rPr>
                <w:rFonts w:ascii="맑은 고딕" w:hAnsi="맑은 고딕" w:eastAsia="맑은 고딕" w:cs="맑은 고딕"/>
                <w:color w:val="101828"/>
                <w:sz w:val="20"/>
              </w:rPr>
              <w:t>2026.08.23 기준 대시보드·투자지도·빈집지도·AI 종합분석이 운영 배포됐으며, 공개 회귀 URL 12개와 관련 서비스 상태가 정상임을 확인했습니다.</w:t>
            </w:r>
          </w:p>
        </w:tc>
      </w:tr>
    </w:tbl>
    <w:p>
      <w:pPr>
        <w:spacing w:after="80"/>
      </w:pPr>
    </w:p>
    <w:sectPr w:rsidR="00FC693F" w:rsidRPr="0006063C" w:rsidSect="00034616">
      <w:headerReference w:type="default" r:id="rId9"/>
      <w:footerReference w:type="default" r:id="rId10"/>
      <w:pgSz w:w="12240" w:h="15840"/>
      <w:pgMar w:top="1181" w:right="1440" w:bottom="1123" w:left="1440" w:header="605"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맑은 고딕" w:hAnsi="맑은 고딕" w:eastAsia="맑은 고딕" w:cs="맑은 고딕"/>
        <w:color w:val="667085"/>
        <w:sz w:val="17"/>
      </w:rPr>
      <w:t xml:space="preserve">부산 관광경제 활력 분석 대시보드  |  </w:t>
    </w:r>
    <w:r>
      <w:rPr>
        <w:rFonts w:ascii="맑은 고딕" w:hAnsi="맑은 고딕" w:eastAsia="맑은 고딕" w:cs="맑은 고딕"/>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color w:val="667085"/>
        <w:sz w:val="15"/>
      </w:rPr>
      <w:t>BUSAN TOURISM ECONOMY INTELLIGENCE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맑은 고딕" w:hAnsi="맑은 고딕" w:eastAsia="맑은 고딕"/>
      <w:b/>
      <w:bCs/>
      <w:color w:val="0B2E5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맑은 고딕" w:hAnsi="맑은 고딕" w:eastAsia="맑은 고딕"/>
      <w:b/>
      <w:bCs/>
      <w:color w:val="1769E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맑은 고딕" w:hAnsi="맑은 고딕" w:eastAsia="맑은 고딕"/>
      <w:b/>
      <w:bCs/>
      <w:color w:val="0B2E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맑은 고딕" w:hAnsi="맑은 고딕" w:eastAsia="맑은 고딕"/>
      <w:b/>
      <w:color w:val="0B2E5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맑은 고딕" w:hAnsi="맑은 고딕" w:eastAsia="맑은 고딕"/>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busanproduct.co.kr/tourism/" TargetMode="External"/><Relationship Id="rId12" Type="http://schemas.openxmlformats.org/officeDocument/2006/relationships/hyperlink" Target="https://busanproduct.co.kr/tourism/map/index.html" TargetMode="External"/><Relationship Id="rId13" Type="http://schemas.openxmlformats.org/officeDocument/2006/relationships/hyperlink" Target="https://busanproduct.co.kr/tourism/vacant-map/index.html" TargetMode="External"/><Relationship Id="rId14" Type="http://schemas.openxmlformats.org/officeDocument/2006/relationships/hyperlink" Target="https://www.data.go.kr/data/15151868/openapi.do" TargetMode="External"/><Relationship Id="rId15" Type="http://schemas.openxmlformats.org/officeDocument/2006/relationships/hyperlink" Target="https://datalab.visitkorea.or.kr/" TargetMode="External"/><Relationship Id="rId16" Type="http://schemas.openxmlformats.org/officeDocument/2006/relationships/hyperlink" Target="https://www.vworld.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부산 관광경제 활력 분석 대시보드 기능 소개서</dc:title>
  <dc:subject>서부산 체류전환·숙박공급·민간투자·빈집 분석 시스템</dc:subject>
  <dc:creator>부산광역시 관광정책 내부 검토</dc:creator>
  <cp:keywords>서부산, 관광, 숙박, 민간투자, 빈집, AI, 대시보드</cp:keywords>
  <dc:description>generated by python-docx</dc:description>
  <cp:lastModifiedBy/>
  <cp:revision>1</cp:revision>
  <dcterms:created xsi:type="dcterms:W3CDTF">2013-12-23T23:15:00Z</dcterms:created>
  <dcterms:modified xsi:type="dcterms:W3CDTF">2013-12-23T23:15:00Z</dcterms:modified>
  <cp:category/>
</cp:coreProperties>
</file>