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23B63"/>
            <w:tcMar>
              <w:top w:w="210" w:type="dxa"/>
              <w:start w:w="260" w:type="dxa"/>
              <w:bottom w:w="190" w:type="dxa"/>
              <w:end w:w="26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6EE7F0"/>
                <w:sz w:val="15"/>
              </w:rPr>
              <w:t>WEST BUSAN TOURISM ECONOMY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FFFFFF"/>
                <w:sz w:val="41"/>
              </w:rPr>
              <w:t>서부산권 체류형 관광 활성화 및 민간투자 촉진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DCEEFF"/>
                <w:sz w:val="18"/>
              </w:rPr>
              <w:t>관광객을 더 데려오는 정책을 넘어, 온 관광객을 머물게 하는 시장구조로 전환</w:t>
            </w:r>
          </w:p>
          <w:p>
            <w:pPr>
              <w:spacing w:before="40"/>
              <w:jc w:val="right"/>
            </w:pPr>
            <w:r>
              <w:rPr>
                <w:rFonts w:ascii="맑은 고딕" w:hAnsi="맑은 고딕" w:eastAsia="맑은 고딕"/>
                <w:b/>
                <w:color w:val="A8C9EA"/>
                <w:sz w:val="15"/>
              </w:rPr>
              <w:t>시장보고용 요약 · 1/3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01 CURRENT STATUS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현황과 핵심 문제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18"/>
              </w:rPr>
              <w:t>핵심 진단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7"/>
              </w:rPr>
              <w:t>부산에 관광객이 없는 것이 아니라, 형성된 관광수요가 서부산의 숙박·야간체류·지역소비로 충분히 전환되지 못하고 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일평균 방문수요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371,553명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동부산의 80.3%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숙박업체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431개소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동부산의 31.3%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확인 객실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10,442실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동부산의 45.1%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관광숙박 등록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0.7%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동부산 11.3%</w:t>
            </w:r>
          </w:p>
        </w:tc>
      </w:tr>
      <w:tr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20년 이상 시설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86.6%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동부산 72.0%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인허가 평균연령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28.0년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동부산 8.3년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2021년 이후 등록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8.4%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동부산 59.6%</w:t>
            </w:r>
          </w:p>
        </w:tc>
        <w:tc>
          <w:tcPr>
            <w:tcW w:type="dxa" w:w="2509"/>
            <w:shd w:fill="F7F9FC"/>
            <w:tcMar>
              <w:top w:w="12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5C6F82"/>
                <w:sz w:val="15"/>
              </w:rPr>
              <w:t>외국인 숙박 대응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29"/>
              </w:rPr>
              <w:t>2.3%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5C6F82"/>
                <w:sz w:val="14"/>
              </w:rPr>
              <w:t>동부산 38.3%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PROBLEM STRUCTURE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문제구조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수요 전환 미흡: 동부산의 80.3% 수준인 방문수요에 비해 숙박업체는 31.3%, 확인 객실은 45.1% 수준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공급구조 취약: 일반숙박 비중 90.3%, 관광숙박 등록 0.7%로 관광상품·브랜드·외국인 대응 역량이 제한적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시설 갱신 지연: 20년 이상 시설 86.6%, 인허가 평균연령 28.0년으로 리모델링·전환 수요가 큼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신규 진입 격차: 2021년 이후 최초 인허가 현재 영업시설 비중 8.4%로 동부산 59.6%와 큰 차이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8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8"/>
        </w:rPr>
        <w:t>연결구조 부족: 관광지·교통거점·야간콘텐츠·상권·숙박이 하나의 체류상품으로 결합되지 못함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8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18"/>
              </w:rPr>
              <w:t>해석상 주의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7"/>
              </w:rPr>
              <w:t>객실 비교는 동부산 객실자료 확보율 51.8%의 영향을 받는다. 관광소비 지표는 원화 금액이 아닌 KTO 원천 상대지표이며, 현재 자료만으로 민간투자액 감소나 폐업 증가를 확정할 수 없다.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879" w:right="935" w:bottom="822" w:left="935" w:header="369" w:footer="369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23B63"/>
            <w:tcMar>
              <w:top w:w="210" w:type="dxa"/>
              <w:start w:w="260" w:type="dxa"/>
              <w:bottom w:w="190" w:type="dxa"/>
              <w:end w:w="26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6EE7F0"/>
                <w:sz w:val="15"/>
              </w:rPr>
              <w:t>POLICY DIRECTION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FFFFFF"/>
                <w:sz w:val="41"/>
              </w:rPr>
              <w:t>추진방향과 공간별 차등전략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DCEEFF"/>
                <w:sz w:val="18"/>
              </w:rPr>
              <w:t>거점 집중 → 체류시장 형성 → 숙박시설 밸류업 → 민간경쟁 촉진 → 주변 관광지 확산</w:t>
            </w:r>
          </w:p>
          <w:p>
            <w:pPr>
              <w:spacing w:before="40"/>
              <w:jc w:val="right"/>
            </w:pPr>
            <w:r>
              <w:rPr>
                <w:rFonts w:ascii="맑은 고딕" w:hAnsi="맑은 고딕" w:eastAsia="맑은 고딕"/>
                <w:b/>
                <w:color w:val="A8C9EA"/>
                <w:sz w:val="15"/>
              </w:rPr>
              <w:t>시장보고용 요약 · 2/3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02 DIRECTION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정책 추진방향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417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추진축</w:t>
            </w:r>
          </w:p>
        </w:tc>
        <w:tc>
          <w:tcPr>
            <w:tcW w:type="dxa" w:w="5216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정책방향</w:t>
            </w:r>
          </w:p>
        </w:tc>
        <w:tc>
          <w:tcPr>
            <w:tcW w:type="dxa" w:w="2891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시장에 주는 신호</w:t>
            </w:r>
          </w:p>
        </w:tc>
      </w:tr>
      <w:tr>
        <w:tc>
          <w:tcPr>
            <w:tcW w:type="dxa" w:w="1417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6"/>
              </w:rPr>
              <w:t>수요 입증</w:t>
            </w:r>
          </w:p>
        </w:tc>
        <w:tc>
          <w:tcPr>
            <w:tcW w:type="dxa" w:w="5216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교통·관광·미식·야간·숙박을 묶은 거점별 1박 전환 실증</w:t>
            </w:r>
          </w:p>
        </w:tc>
        <w:tc>
          <w:tcPr>
            <w:tcW w:type="dxa" w:w="289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확실한 체류수요와 판매 가능한 상품</w:t>
            </w:r>
          </w:p>
        </w:tc>
      </w:tr>
      <w:tr>
        <w:tc>
          <w:tcPr>
            <w:tcW w:type="dxa" w:w="1417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6"/>
              </w:rPr>
              <w:t>공급 개선</w:t>
            </w:r>
          </w:p>
        </w:tc>
        <w:tc>
          <w:tcPr>
            <w:tcW w:type="dxa" w:w="5216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신규 공급과 기존 노후시설 인수·리모델링을 함께 지원</w:t>
            </w:r>
          </w:p>
        </w:tc>
        <w:tc>
          <w:tcPr>
            <w:tcW w:type="dxa" w:w="289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투자 가능한 사업모델과 품질 기준</w:t>
            </w:r>
          </w:p>
        </w:tc>
      </w:tr>
      <w:tr>
        <w:tc>
          <w:tcPr>
            <w:tcW w:type="dxa" w:w="1417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6"/>
              </w:rPr>
              <w:t>금융 연계</w:t>
            </w:r>
          </w:p>
        </w:tc>
        <w:tc>
          <w:tcPr>
            <w:tcW w:type="dxa" w:w="5216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협약대출·이차보전·특별보증을 사업자 유형별로 구성</w:t>
            </w:r>
          </w:p>
        </w:tc>
        <w:tc>
          <w:tcPr>
            <w:tcW w:type="dxa" w:w="289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초기 CAPEX와 금융비용 부담 완화</w:t>
            </w:r>
          </w:p>
        </w:tc>
      </w:tr>
      <w:tr>
        <w:tc>
          <w:tcPr>
            <w:tcW w:type="dxa" w:w="1417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6"/>
              </w:rPr>
              <w:t>민간 경쟁</w:t>
            </w:r>
          </w:p>
        </w:tc>
        <w:tc>
          <w:tcPr>
            <w:tcW w:type="dxa" w:w="5216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개발·운영·브랜딩·OTA·금융사를 Deal Book과 RFI로 연결</w:t>
            </w:r>
          </w:p>
        </w:tc>
        <w:tc>
          <w:tcPr>
            <w:tcW w:type="dxa" w:w="289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사업후보·수익모델·정책조건의 가시화</w:t>
            </w:r>
          </w:p>
        </w:tc>
      </w:tr>
      <w:tr>
        <w:tc>
          <w:tcPr>
            <w:tcW w:type="dxa" w:w="1417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6"/>
              </w:rPr>
              <w:t>성과 관리</w:t>
            </w:r>
          </w:p>
        </w:tc>
        <w:tc>
          <w:tcPr>
            <w:tcW w:type="dxa" w:w="5216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방문객 총량보다 숙박전환·ADR·OCC·민간자본·고용을 측정</w:t>
            </w:r>
          </w:p>
        </w:tc>
        <w:tc>
          <w:tcPr>
            <w:tcW w:type="dxa" w:w="289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성과 중심의 지원·환류 체계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TWO-TRACK FINANCE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숙박시설 현대화 금융지원 2개 트랙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7"/>
            <w:shd w:fill="149CA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097"/>
            <w:shd w:fill="149CA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지원대상</w:t>
            </w:r>
          </w:p>
        </w:tc>
        <w:tc>
          <w:tcPr>
            <w:tcW w:type="dxa" w:w="3458"/>
            <w:shd w:fill="149CA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지원내용</w:t>
            </w:r>
          </w:p>
        </w:tc>
        <w:tc>
          <w:tcPr>
            <w:tcW w:type="dxa" w:w="2381"/>
            <w:shd w:fill="149CA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적용 원칙</w:t>
            </w:r>
          </w:p>
        </w:tc>
      </w:tr>
      <w:tr>
        <w:tc>
          <w:tcPr>
            <w:tcW w:type="dxa" w:w="1587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6"/>
              </w:rPr>
              <w:t>Track 1</w:t>
              <w:br/>
              <w:t>민간투자 촉진형</w:t>
            </w:r>
          </w:p>
        </w:tc>
        <w:tc>
          <w:tcPr>
            <w:tcW w:type="dxa" w:w="2097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전문 개발·운영·투자사업자</w:t>
            </w:r>
          </w:p>
        </w:tc>
        <w:tc>
          <w:tcPr>
            <w:tcW w:type="dxa" w:w="3458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신규 숙박 공급, 노후 숙박 인수 후 전면 리모델링·리브랜딩</w:t>
            </w:r>
          </w:p>
        </w:tc>
        <w:tc>
          <w:tcPr>
            <w:tcW w:type="dxa" w:w="238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기존시설이 있어도 인수·통합개발 가능성이 있으면 Track 1 병행</w:t>
            </w:r>
          </w:p>
        </w:tc>
      </w:tr>
      <w:tr>
        <w:tc>
          <w:tcPr>
            <w:tcW w:type="dxa" w:w="1587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6"/>
              </w:rPr>
              <w:t>Track 2</w:t>
              <w:br/>
              <w:t>기존시설 개선형</w:t>
            </w:r>
          </w:p>
        </w:tc>
        <w:tc>
          <w:tcPr>
            <w:tcW w:type="dxa" w:w="2097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현재 영업 중인 숙박사업자</w:t>
            </w:r>
          </w:p>
        </w:tc>
        <w:tc>
          <w:tcPr>
            <w:tcW w:type="dxa" w:w="3458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객실·욕실·편의시설·안전·스마트서비스 등 시설·서비스 개선</w:t>
            </w:r>
          </w:p>
        </w:tc>
        <w:tc>
          <w:tcPr>
            <w:tcW w:type="dxa" w:w="238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6"/>
              </w:rPr>
              <w:t>소규모 개선과 영업품질 향상 중심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EF4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18"/>
              </w:rPr>
              <w:t>트랙 배정 원칙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7"/>
              </w:rPr>
              <w:t>시설 존재 여부만으로 Track 1을 제외하지 않는다. 사업주체·인수 가능성·투자규모·통합개발 필요성을 기준으로 Track 1·2를 중복 표시한 뒤, RFI와 현장실사에서 최종 배정한다.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PRIORITY AREAS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투자검토 우선지역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474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지역</w:t>
            </w:r>
          </w:p>
        </w:tc>
        <w:tc>
          <w:tcPr>
            <w:tcW w:type="dxa" w:w="4592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근거</w:t>
            </w:r>
          </w:p>
        </w:tc>
        <w:tc>
          <w:tcPr>
            <w:tcW w:type="dxa" w:w="3458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우선 검토방향</w:t>
            </w:r>
          </w:p>
        </w:tc>
      </w:tr>
      <w:tr>
        <w:tc>
          <w:tcPr>
            <w:tcW w:type="dxa" w:w="1474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사하구 장림동</w:t>
            </w:r>
          </w:p>
        </w:tc>
        <w:tc>
          <w:tcPr>
            <w:tcW w:type="dxa" w:w="4592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8개소·136실 / 확인 7개 모두 20년+ / 평균 41.7년 / 부족도 69.3</w:t>
            </w:r>
          </w:p>
        </w:tc>
        <w:tc>
          <w:tcPr>
            <w:tcW w:type="dxa" w:w="3458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신규 공급 및 노후시설 인수·전면 밸류업</w:t>
            </w:r>
          </w:p>
        </w:tc>
      </w:tr>
      <w:tr>
        <w:tc>
          <w:tcPr>
            <w:tcW w:type="dxa" w:w="1474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사하구 신평동</w:t>
            </w:r>
          </w:p>
        </w:tc>
        <w:tc>
          <w:tcPr>
            <w:tcW w:type="dxa" w:w="4592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1개소·10실 / 건축연령 49.1년 / 부족도 67.8</w:t>
            </w:r>
          </w:p>
        </w:tc>
        <w:tc>
          <w:tcPr>
            <w:tcW w:type="dxa" w:w="3458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산업·교통수요 연계 비즈니스형 숙박 검토</w:t>
            </w:r>
          </w:p>
        </w:tc>
      </w:tr>
      <w:tr>
        <w:tc>
          <w:tcPr>
            <w:tcW w:type="dxa" w:w="1474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강서구 명지동</w:t>
            </w:r>
          </w:p>
        </w:tc>
        <w:tc>
          <w:tcPr>
            <w:tcW w:type="dxa" w:w="4592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20개소·963실 / 확인 13개 중 12개 20년+ / 부족도 57.4</w:t>
            </w:r>
          </w:p>
        </w:tc>
        <w:tc>
          <w:tcPr>
            <w:tcW w:type="dxa" w:w="3458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전면 리모델링·관광숙박 전환 및 선택적 신규 공급</w:t>
            </w:r>
          </w:p>
        </w:tc>
      </w:tr>
      <w:tr>
        <w:tc>
          <w:tcPr>
            <w:tcW w:type="dxa" w:w="1474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사상구 괘법동</w:t>
            </w:r>
          </w:p>
        </w:tc>
        <w:tc>
          <w:tcPr>
            <w:tcW w:type="dxa" w:w="4592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99개소·2,441실 / 확인 80개 중 71개 20년+ / 평균 31.5년</w:t>
            </w:r>
          </w:p>
        </w:tc>
        <w:tc>
          <w:tcPr>
            <w:tcW w:type="dxa" w:w="3458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인수·통합개발, 집단 현대화, 공동브랜드</w:t>
            </w:r>
          </w:p>
        </w:tc>
      </w:tr>
      <w:tr>
        <w:tc>
          <w:tcPr>
            <w:tcW w:type="dxa" w:w="1474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북구 구포동</w:t>
            </w:r>
          </w:p>
        </w:tc>
        <w:tc>
          <w:tcPr>
            <w:tcW w:type="dxa" w:w="4592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52개소·1,167실 / 확인 31개 중 28개 20년+ / 평균 33.7년</w:t>
            </w:r>
          </w:p>
        </w:tc>
        <w:tc>
          <w:tcPr>
            <w:tcW w:type="dxa" w:w="3458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역세권 시설 인수·전면 리모델링·관광상품 연계</w:t>
            </w:r>
          </w:p>
        </w:tc>
      </w:tr>
    </w:tbl>
    <w:p>
      <w:pPr>
        <w:sectPr>
          <w:pgSz w:w="11906" w:h="16838"/>
          <w:pgMar w:top="879" w:right="935" w:bottom="822" w:left="935" w:header="369" w:footer="369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23B63"/>
            <w:tcMar>
              <w:top w:w="210" w:type="dxa"/>
              <w:start w:w="260" w:type="dxa"/>
              <w:bottom w:w="190" w:type="dxa"/>
              <w:end w:w="26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6EE7F0"/>
                <w:sz w:val="15"/>
              </w:rPr>
              <w:t>PRIORITY PROGRAMS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color w:val="FFFFFF"/>
                <w:sz w:val="41"/>
              </w:rPr>
              <w:t>중점 추진사업과 실행체계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DCEEFF"/>
                <w:sz w:val="18"/>
              </w:rPr>
              <w:t>공공은 시설을 직접 운영하기보다 수요·품질·금융 신호를 제공하고 민간의 경쟁적 투자를 유도</w:t>
            </w:r>
          </w:p>
          <w:p>
            <w:pPr>
              <w:spacing w:before="40"/>
              <w:jc w:val="right"/>
            </w:pPr>
            <w:r>
              <w:rPr>
                <w:rFonts w:ascii="맑은 고딕" w:hAnsi="맑은 고딕" w:eastAsia="맑은 고딕"/>
                <w:b/>
                <w:color w:val="A8C9EA"/>
                <w:sz w:val="15"/>
              </w:rPr>
              <w:t>시장보고용 요약 · 3/3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03 PROGRAMS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5대 중점 추진사업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71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사업</w:t>
            </w:r>
          </w:p>
        </w:tc>
        <w:tc>
          <w:tcPr>
            <w:tcW w:type="dxa" w:w="4706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핵심내용</w:t>
            </w:r>
          </w:p>
        </w:tc>
        <w:tc>
          <w:tcPr>
            <w:tcW w:type="dxa" w:w="2948"/>
            <w:shd w:fill="123B63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초기 산출물·성과</w:t>
            </w:r>
          </w:p>
        </w:tc>
      </w:tr>
      <w:tr>
        <w:tc>
          <w:tcPr>
            <w:tcW w:type="dxa" w:w="187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1. 관광경제 데이터 분석체계</w:t>
            </w:r>
          </w:p>
        </w:tc>
        <w:tc>
          <w:tcPr>
            <w:tcW w:type="dxa" w:w="4706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숙박·방문·소비·건축·공간·빈집 데이터를 통합하고 동·거점 단위 투자검토 정보를 제공</w:t>
            </w:r>
          </w:p>
        </w:tc>
        <w:tc>
          <w:tcPr>
            <w:tcW w:type="dxa" w:w="2948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정책 대시보드, 투자검토 우선지역, 데이터 품질지표</w:t>
            </w:r>
          </w:p>
        </w:tc>
      </w:tr>
      <w:tr>
        <w:tc>
          <w:tcPr>
            <w:tcW w:type="dxa" w:w="187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2. 숙박시설 현대화 금융</w:t>
            </w:r>
          </w:p>
        </w:tc>
        <w:tc>
          <w:tcPr>
            <w:tcW w:type="dxa" w:w="4706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Track 1 협약대출·민간투자와 Track 2 이차보전·기존시설 개선을 병행</w:t>
            </w:r>
          </w:p>
        </w:tc>
        <w:tc>
          <w:tcPr>
            <w:tcW w:type="dxa" w:w="2948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RFI, 금융기관 협약, 시설진단, 단계별 지원기준</w:t>
            </w:r>
          </w:p>
        </w:tc>
      </w:tr>
      <w:tr>
        <w:tc>
          <w:tcPr>
            <w:tcW w:type="dxa" w:w="187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3. 빈집 활용 체류거점</w:t>
            </w:r>
          </w:p>
        </w:tc>
        <w:tc>
          <w:tcPr>
            <w:tcW w:type="dxa" w:w="4706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연속 필지군을 우선하고 일정 규모 단독필지는 교통·관광·수요를 결합해 보완 선정</w:t>
            </w:r>
          </w:p>
        </w:tc>
        <w:tc>
          <w:tcPr>
            <w:tcW w:type="dxa" w:w="2948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워케이션 후보지, 토지이용·소유·사업성 사전검토</w:t>
            </w:r>
          </w:p>
        </w:tc>
      </w:tr>
      <w:tr>
        <w:tc>
          <w:tcPr>
            <w:tcW w:type="dxa" w:w="187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4. 체류콘텐츠 확충</w:t>
            </w:r>
          </w:p>
        </w:tc>
        <w:tc>
          <w:tcPr>
            <w:tcW w:type="dxa" w:w="4706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거점별 야간·미식·생태·철도·공항 콘텐츠와 숙박상품을 결합</w:t>
            </w:r>
          </w:p>
        </w:tc>
        <w:tc>
          <w:tcPr>
            <w:tcW w:type="dxa" w:w="2948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1박2일 상품, OTA 판매, 라스트마일, 공동마케팅</w:t>
            </w:r>
          </w:p>
        </w:tc>
      </w:tr>
      <w:tr>
        <w:tc>
          <w:tcPr>
            <w:tcW w:type="dxa" w:w="187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5. 관광경제활력지구</w:t>
            </w:r>
          </w:p>
        </w:tc>
        <w:tc>
          <w:tcPr>
            <w:tcW w:type="dxa" w:w="4706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숙박·상권·콘텐츠·금융·규제검토를 집중하고 Deal Book으로 민간협력사를 유치</w:t>
            </w:r>
          </w:p>
        </w:tc>
        <w:tc>
          <w:tcPr>
            <w:tcW w:type="dxa" w:w="2948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거점별 투자설명서, 민간제안, 투자심의·금융연계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VACANT HOUSE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빈집 활용 워케이션 검토방향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49CA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권역</w:t>
            </w:r>
          </w:p>
        </w:tc>
        <w:tc>
          <w:tcPr>
            <w:tcW w:type="dxa" w:w="2268"/>
            <w:shd w:fill="149CA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개발유형</w:t>
            </w:r>
          </w:p>
        </w:tc>
        <w:tc>
          <w:tcPr>
            <w:tcW w:type="dxa" w:w="5556"/>
            <w:shd w:fill="149CA6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행정 검토방향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모라동</w:t>
            </w:r>
          </w:p>
        </w:tc>
        <w:tc>
          <w:tcPr>
            <w:tcW w:type="dxa" w:w="2268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대규모 연속 필지</w:t>
            </w:r>
          </w:p>
        </w:tc>
        <w:tc>
          <w:tcPr>
            <w:tcW w:type="dxa" w:w="5556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체류·업무·교류 기능을 결합한 복합형 워케이션 거점 우선 검토</w:t>
            </w:r>
          </w:p>
        </w:tc>
      </w:tr>
      <w:tr>
        <w:tc>
          <w:tcPr>
            <w:tcW w:type="dxa" w:w="170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명지·동선·죽동동</w:t>
            </w:r>
          </w:p>
        </w:tc>
        <w:tc>
          <w:tcPr>
            <w:tcW w:type="dxa" w:w="2268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일정 규모 단독 필지</w:t>
            </w:r>
          </w:p>
        </w:tc>
        <w:tc>
          <w:tcPr>
            <w:tcW w:type="dxa" w:w="5556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독립형 워케이션 시설 및 주변 관광·교통 연계 가능성 검토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괴정·감전동</w:t>
            </w:r>
          </w:p>
        </w:tc>
        <w:tc>
          <w:tcPr>
            <w:tcW w:type="dxa" w:w="2268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연속 필지 통합</w:t>
            </w:r>
          </w:p>
        </w:tc>
        <w:tc>
          <w:tcPr>
            <w:tcW w:type="dxa" w:w="5556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복수 필지 통합개발·리모델링 가능성 검토</w:t>
            </w:r>
          </w:p>
        </w:tc>
      </w:tr>
      <w:tr>
        <w:tc>
          <w:tcPr>
            <w:tcW w:type="dxa" w:w="1701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죽림·녹산동</w:t>
            </w:r>
          </w:p>
        </w:tc>
        <w:tc>
          <w:tcPr>
            <w:tcW w:type="dxa" w:w="2268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기존 건축물 활용</w:t>
            </w:r>
          </w:p>
        </w:tc>
        <w:tc>
          <w:tcPr>
            <w:tcW w:type="dxa" w:w="5556"/>
            <w:shd w:fill="F7F9FC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보존·전환·재생형 체류시설 적합성 검토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color w:val="142638"/>
                <w:sz w:val="15"/>
              </w:rPr>
              <w:t>장림동</w:t>
            </w:r>
          </w:p>
        </w:tc>
        <w:tc>
          <w:tcPr>
            <w:tcW w:type="dxa" w:w="2268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소규모 연속 필지</w:t>
            </w:r>
          </w:p>
        </w:tc>
        <w:tc>
          <w:tcPr>
            <w:tcW w:type="dxa" w:w="5556"/>
            <w:shd w:fill="FFFFFF"/>
            <w:tcMar>
              <w:top w:w="80" w:type="dxa"/>
              <w:start w:w="88" w:type="dxa"/>
              <w:bottom w:w="80" w:type="dxa"/>
              <w:end w:w="88" w:type="dxa"/>
            </w:tcMar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5"/>
              </w:rPr>
              <w:t>인접 빈집·유휴부지 추가 확보 시 조건부 추진</w:t>
            </w:r>
          </w:p>
        </w:tc>
      </w:tr>
    </w:tbl>
    <w:p>
      <w:pPr>
        <w:keepNext/>
        <w:spacing w:before="120" w:after="40"/>
      </w:pPr>
      <w:r>
        <w:rPr>
          <w:rFonts w:ascii="맑은 고딕" w:hAnsi="맑은 고딕" w:eastAsia="맑은 고딕"/>
          <w:b/>
          <w:color w:val="2A6FDB"/>
          <w:sz w:val="14"/>
        </w:rPr>
        <w:t>EXECUTION</w:t>
      </w:r>
    </w:p>
    <w:p>
      <w:pPr>
        <w:keepNext/>
        <w:spacing w:after="80"/>
      </w:pPr>
      <w:r>
        <w:rPr>
          <w:rFonts w:ascii="맑은 고딕" w:hAnsi="맑은 고딕" w:eastAsia="맑은 고딕"/>
          <w:b/>
          <w:color w:val="123B63"/>
          <w:sz w:val="28"/>
        </w:rPr>
        <w:t>단계별 실행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7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7"/>
        </w:rPr>
        <w:t>1단계(0~6개월): 원자료 정합성 보완, RFI, 시설진단, 우선거점 선정, 금융·조례·중복지원 검토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7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7"/>
        </w:rPr>
        <w:t>2단계(6~18개월): 숙박 리모델링·전환 시범사업, 체류상품 판매, 빈집·워케이션 타당성 및 민간공모</w:t>
      </w:r>
    </w:p>
    <w:p>
      <w:pPr>
        <w:spacing w:after="44"/>
        <w:ind w:left="238" w:hanging="181"/>
      </w:pPr>
      <w:r>
        <w:rPr>
          <w:rFonts w:ascii="맑은 고딕" w:hAnsi="맑은 고딕" w:eastAsia="맑은 고딕"/>
          <w:b/>
          <w:color w:val="2A6FDB"/>
          <w:sz w:val="17"/>
        </w:rPr>
        <w:t xml:space="preserve">ㅇ </w:t>
      </w:r>
      <w:r>
        <w:rPr>
          <w:rFonts w:ascii="맑은 고딕" w:hAnsi="맑은 고딕" w:eastAsia="맑은 고딕"/>
          <w:b w:val="0"/>
          <w:color w:val="142638"/>
          <w:sz w:val="17"/>
        </w:rPr>
        <w:t>3단계(18개월~): 관광경제활력지구 확대, 민간투자 Deal Book 정례화, 성과기반 금융지원 환류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8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23B63"/>
                <w:sz w:val="18"/>
              </w:rPr>
              <w:t>의사결정 전 필수 확인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color w:val="142638"/>
                <w:sz w:val="17"/>
              </w:rPr>
              <w:t>우선지역은 투자검토 신호이며 투자 권고가 아니다. 토지이용·용도·소유권·구조·소방·위생·가동률·ADR/OCC·사업자 의향·금융심사를 현장 단위로 확인해야 한다.</w:t>
            </w:r>
          </w:p>
        </w:tc>
      </w:tr>
    </w:tbl>
    <w:sectPr w:rsidR="00FC693F" w:rsidRPr="0006063C" w:rsidSect="00034616">
      <w:pgSz w:w="11906" w:h="16838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맑은 고딕" w:hAnsi="맑은 고딕" w:eastAsia="맑은 고딕"/>
        <w:b w:val="0"/>
        <w:color w:val="5C6F82"/>
        <w:sz w:val="15"/>
      </w:rPr>
      <w:t>부산광역시 서부산 관광정책 검토자료  |  2026. 8.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맑은 고딕" w:hAnsi="맑은 고딕" w:eastAsia="맑은 고딕"/>
        <w:b/>
        <w:color w:val="5C6F82"/>
        <w:sz w:val="15"/>
      </w:rPr>
      <w:t>서부산권 체류형 관광 활성화 사업 설명자료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9" w:lineRule="auto"/>
    </w:pPr>
    <w:rPr>
      <w:rFonts w:ascii="맑은 고딕" w:hAnsi="맑은 고딕" w:eastAsia="맑은 고딕"/>
      <w:color w:val="1426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2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A6FD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23B6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서부산권 체류형 관광 활성화 및 민간투자 촉진 사업 설명자료</dc:title>
  <dc:subject>시장보고용 A4 3쪽 개조식 자료</dc:subject>
  <dc:creator>Busan Tourism Policy Dashboard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