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Chapter One</w:t>
      </w:r>
    </w:p>
    <w:p>
      <w:r>
        <w:t xml:space="preserve">The first chapter sets the scene with quiet, conversational prose.</w:t>
      </w:r>
    </w:p>
    <w:p>
      <w:pPr>
        <w:pStyle w:val="Heading1"/>
      </w:pPr>
      <w:r>
        <w:t xml:space="preserve">Chapter Two</w:t>
      </w:r>
    </w:p>
    <w:p>
      <w:r>
        <w:t xml:space="preserve">The second chapter introduces conflict and a complication that demands resolution.</w:t>
      </w:r>
    </w:p>
    <w:p>
      <w:pPr>
        <w:pStyle w:val="Heading1"/>
      </w:pPr>
      <w:r>
        <w:t xml:space="preserve">Chapter Three</w:t>
      </w:r>
    </w:p>
    <w:p>
      <w:r>
        <w:t xml:space="preserve">The third chapter raises the stakes and points toward the resolution.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2026-05-18T21:19:35.530Z</dcterms:created>
  <dcterms:modified xsi:type="dcterms:W3CDTF">2026-05-18T21:19:35.530Z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