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Due Diligence Stratégique – Shakepay</w:t>
      </w:r>
    </w:p>
    <w:p>
      <w:pPr>
        <w:pStyle w:val="Heading1"/>
      </w:pPr>
      <w:r>
        <w:t>Résumé exécutif</w:t>
      </w:r>
    </w:p>
    <w:p>
      <w:r>
        <w:t>Ce rapport présente une analyse de due diligence stratégique de Shakepay, une plateforme canadienne de courtage en cryptomonnaies. L’objectif est d’évaluer son modèle d’affaires, son positionnement, ses risques et ses opportunités afin de fournir une perspective éclairée sur sa solidité et ses perspectives futures.</w:t>
      </w:r>
    </w:p>
    <w:p>
      <w:pPr>
        <w:pStyle w:val="Heading1"/>
      </w:pPr>
      <w:r>
        <w:t>Introduction et contexte</w:t>
      </w:r>
    </w:p>
    <w:p>
      <w:r>
        <w:t>Fondée en 2015, Shakepay s’est imposée comme l’une des principales plateformes canadiennes permettant d’acheter, vendre et détenir des cryptomonnaies, principalement Bitcoin et Ethereum. Elle se démarque par une approche axée sur la simplicité, la conformité réglementaire canadienne et la confiance locale.</w:t>
      </w:r>
    </w:p>
    <w:p>
      <w:pPr>
        <w:pStyle w:val="Heading1"/>
      </w:pPr>
      <w:r>
        <w:t>Analyse du marché</w:t>
      </w:r>
    </w:p>
    <w:p>
      <w:r>
        <w:t>Le marché canadien des cryptomonnaies connaît une adoption croissante, notamment depuis 2020, avec l’essor du Bitcoin comme actif de réserve et l’arrivée de plateformes concurrentes telles que Wealthsimple Crypto, Newton et Binance Canada. Shakepay se positionne comme un acteur grand public, privilégiant la facilité d’utilisation et la conformité aux normes de l’AMF et de la FINTRAC.</w:t>
      </w:r>
    </w:p>
    <w:p>
      <w:pPr>
        <w:pStyle w:val="Heading1"/>
      </w:pPr>
      <w:r>
        <w:t>Modèle d’affaires</w:t>
      </w:r>
    </w:p>
    <w:p>
      <w:r>
        <w:t>Shakepay génère principalement ses revenus à travers :</w:t>
        <w:br/>
        <w:t>- Les spreads appliqués aux transactions (différence entre prix d’achat et de vente).</w:t>
        <w:br/>
        <w:t>- Les services annexes (carte Shakepay permettant des récompenses en BTC).</w:t>
        <w:br/>
        <w:br/>
        <w:t>Contrairement à des plateformes internationales, Shakepay n’offre pas encore de produits de staking, de lending ou d’épargne crypto, ce qui limite sa diversification de revenus mais renforce sa conformité.</w:t>
      </w:r>
    </w:p>
    <w:p>
      <w:pPr>
        <w:pStyle w:val="Heading1"/>
      </w:pPr>
      <w:r>
        <w:t>Positionnement concurrentiel</w:t>
      </w:r>
    </w:p>
    <w:p>
      <w:r>
        <w:t>Forces :</w:t>
        <w:br/>
        <w:t>- Réputation solide et confiance des utilisateurs au Canada.</w:t>
        <w:br/>
        <w:t>- Application simple et intuitive.</w:t>
        <w:br/>
        <w:t>- Conformité réglementaire stricte.</w:t>
        <w:br/>
        <w:br/>
        <w:t>Faiblesses :</w:t>
        <w:br/>
        <w:t>- Offre limitée en actifs (BTC et ETH principalement).</w:t>
        <w:br/>
        <w:t>- Absence de services avancés (staking, yield farming).</w:t>
        <w:br/>
        <w:br/>
        <w:t>Opportunités :</w:t>
        <w:br/>
        <w:t>- Expansion vers des services DeFi intégrés.</w:t>
        <w:br/>
        <w:t>- Création d’un token de fidélité ou d’épargne crypto.</w:t>
        <w:br/>
        <w:t>- Développement de partenariats avec institutions financières canadiennes.</w:t>
        <w:br/>
        <w:br/>
        <w:t>Menaces :</w:t>
        <w:br/>
        <w:t>- Pression réglementaire accrue.</w:t>
        <w:br/>
        <w:t>- Concurrence des plateformes internationales plus complètes.</w:t>
        <w:br/>
        <w:t>- Volatilité du marché crypto.</w:t>
      </w:r>
    </w:p>
    <w:p>
      <w:pPr>
        <w:pStyle w:val="Heading1"/>
      </w:pPr>
      <w:r>
        <w:t>Risques et conformité</w:t>
      </w:r>
    </w:p>
    <w:p>
      <w:r>
        <w:t>Shakepay est enregistrée auprès de FINTRAC et se conforme aux lois canadiennes de lutte contre le blanchiment d’argent. Toutefois, la dépendance aux régulations constitue un risque majeur : une évolution défavorable du cadre légal pourrait limiter son expansion ou réduire sa rentabilité. La sécurité des fonds et la gestion opérationnelle représentent également des enjeux critiques.</w:t>
      </w:r>
    </w:p>
    <w:p>
      <w:pPr>
        <w:pStyle w:val="Heading1"/>
      </w:pPr>
      <w:r>
        <w:t>Analyse financière estimative</w:t>
      </w:r>
    </w:p>
    <w:p>
      <w:r>
        <w:t>En l’absence de données financières publiques détaillées, une estimation basée sur les volumes d’échange et le nombre d’utilisateurs est possible. Shakepay aurait dépassé le million d’utilisateurs en 2023, et ses revenus peuvent être extrapolés via les spreads moyens. Cette dépendance à un petit nombre de sources de revenus souligne le besoin de diversification.</w:t>
      </w:r>
    </w:p>
    <w:p>
      <w:pPr>
        <w:pStyle w:val="Heading1"/>
      </w:pPr>
      <w:r>
        <w:t>Conclusion et recommandations</w:t>
      </w:r>
    </w:p>
    <w:p>
      <w:r>
        <w:t>Shakepay bénéficie d’une position de confiance au Canada grâce à sa simplicité et à sa conformité. Cependant, pour maintenir sa croissance et renforcer sa compétitivité, l’entreprise devrait envisager :</w:t>
        <w:br/>
        <w:t>- La diversification de ses produits (staking, épargne crypto, services DeFi).</w:t>
        <w:br/>
        <w:t>- L’introduction éventuelle d’un token de fidélité.</w:t>
        <w:br/>
        <w:t>- La consolidation de ses partenariats bancaires et fintech.</w:t>
        <w:br/>
        <w:br/>
        <w:t>Notre analyse conclut que Shakepay présente un profil attractif pour les utilisateurs débutants et intermédiaires, mais reste vulnérable face à l’innovation rapide des concurrents internationaux.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