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Performance Financière Estimative – Shakepay</w:t>
      </w:r>
    </w:p>
    <w:p>
      <w:pPr>
        <w:pStyle w:val="Heading1"/>
      </w:pPr>
      <w:r>
        <w:t>Résumé exécutif</w:t>
      </w:r>
    </w:p>
    <w:p>
      <w:r>
        <w:t>Ce rapport présente une estimation de la performance financière de Shakepay, plateforme canadienne spécialisée dans l’achat et la vente de cryptomonnaies. En l’absence de données financières publiques détaillées, l’analyse repose sur des indicateurs indirects : croissance des utilisateurs, volumes de transaction, structure de revenus, ainsi que comparaison avec les pairs du marché. L’objectif est d’évaluer la solidité économique et les perspectives de croissance de Shakepay.</w:t>
      </w:r>
    </w:p>
    <w:p>
      <w:pPr>
        <w:pStyle w:val="Heading1"/>
      </w:pPr>
      <w:r>
        <w:t>Introduction et contexte</w:t>
      </w:r>
    </w:p>
    <w:p>
      <w:r>
        <w:t>Shakepay est l’une des principales plateformes de courtage en cryptomonnaies au Canada. Elle se distingue par son offre simplifiée (BTC et ETH), sa conformité réglementaire et son intégration avec le système bancaire canadien via Interac. Cependant, ses revenus et résultats financiers ne sont pas publiquement disponibles, ce qui nécessite une approche d’estimation basée sur le marché et la concurrence.</w:t>
      </w:r>
    </w:p>
    <w:p>
      <w:pPr>
        <w:pStyle w:val="Heading1"/>
      </w:pPr>
      <w:r>
        <w:t>Sources de revenus</w:t>
      </w:r>
    </w:p>
    <w:p>
      <w:r>
        <w:t>Shakepay tire ses revenus principalement de :</w:t>
        <w:br/>
        <w:t>- **Spreads sur les transactions** : différence entre prix d’achat et de vente, principale source de revenus.</w:t>
        <w:br/>
        <w:t>- **Carte Shakepay** : programme de récompenses en BTC financé par interchange fees.</w:t>
        <w:br/>
        <w:t>- **Frais éventuels de conversion CAD ↔ crypto** : inclus dans le spread.</w:t>
        <w:br/>
        <w:br/>
        <w:t>Contrairement à certaines plateformes, Shakepay ne génère pas encore de revenus via staking, prêts crypto ou produits dérivés.</w:t>
      </w:r>
    </w:p>
    <w:p>
      <w:pPr>
        <w:pStyle w:val="Heading1"/>
      </w:pPr>
      <w:r>
        <w:t>Estimation des volumes et utilisateurs</w:t>
      </w:r>
    </w:p>
    <w:p>
      <w:r>
        <w:t>- En 2023, Shakepay aurait franchi le cap du million d’utilisateurs enregistrés.</w:t>
        <w:br/>
        <w:t>- Si l’on suppose une activité moyenne de 10 000 CAD de volume par utilisateur actif par an, cela représenterait un volume brut potentiel de 10 milliards CAD annuels.</w:t>
        <w:br/>
        <w:t>- Avec un spread moyen estimé à 1,5 %, cela générerait environ 150 millions CAD de revenus bruts.</w:t>
        <w:br/>
        <w:br/>
        <w:t>Ces chiffres sont indicatifs et doivent être confirmés par des sources internes.</w:t>
      </w:r>
    </w:p>
    <w:p>
      <w:pPr>
        <w:pStyle w:val="Heading1"/>
      </w:pPr>
      <w:r>
        <w:t>Structure de coûts</w:t>
      </w:r>
    </w:p>
    <w:p>
      <w:r>
        <w:t>Les principaux postes de coûts de Shakepay incluent :</w:t>
        <w:br/>
        <w:t>- Frais de conformité et licences réglementaires (FINTRAC, AMF).</w:t>
        <w:br/>
        <w:t>- Infrastructure technologique et sécurité (stockage à froid, serveurs, audits).</w:t>
        <w:br/>
        <w:t>- Marketing et acquisition de clients (programmes de cashback, promotions).</w:t>
        <w:br/>
        <w:t>- Ressources humaines (croissance de l’équipe).</w:t>
      </w:r>
    </w:p>
    <w:p>
      <w:pPr>
        <w:pStyle w:val="Heading1"/>
      </w:pPr>
      <w:r>
        <w:t>Marges estimatives</w:t>
      </w:r>
    </w:p>
    <w:p>
      <w:r>
        <w:t>Si l’on applique une structure de coûts comparable à des fintech similaires :</w:t>
        <w:br/>
        <w:t>- Marge brute : ~60-70 % (revenus nets après coûts opérationnels directs).</w:t>
        <w:br/>
        <w:t>- Marge nette estimative : 10-20 %, en tenant compte des coûts réglementaires et du marketing élevé.</w:t>
        <w:br/>
        <w:br/>
        <w:t>Cela placerait Shakepay dans la moyenne des plateformes crypto de taille intermédiaire.</w:t>
      </w:r>
    </w:p>
    <w:p>
      <w:pPr>
        <w:pStyle w:val="Heading1"/>
      </w:pPr>
      <w:r>
        <w:t>Comparaison avec les pairs</w:t>
      </w:r>
    </w:p>
    <w:p>
      <w:r>
        <w:t>Coinbase (US) :</w:t>
        <w:br/>
        <w:t>- Revenus de plusieurs milliards USD, mais modèle similaire basé sur les spreads.</w:t>
        <w:br/>
        <w:t>- Diversification avancée (staking, NFT, layer-2).</w:t>
        <w:br/>
        <w:br/>
        <w:t>Newton (Canada) :</w:t>
        <w:br/>
        <w:t>- Offre plus large de cryptos, spreads plus faibles.</w:t>
        <w:br/>
        <w:t>- Moins de notoriété que Shakepay, mais stratégie orientée volume.</w:t>
        <w:br/>
        <w:br/>
        <w:t>Wealthsimple Crypto :</w:t>
        <w:br/>
        <w:t>- Adossé à Wealthsimple, forte synergie avec l’investissement traditionnel.</w:t>
        <w:br/>
        <w:t>- Plus large gamme d’actifs mais interface moins ludique.</w:t>
      </w:r>
    </w:p>
    <w:p>
      <w:pPr>
        <w:pStyle w:val="Heading1"/>
      </w:pPr>
      <w:r>
        <w:t>Perspectives de croissance</w:t>
      </w:r>
    </w:p>
    <w:p>
      <w:r>
        <w:t>Les leviers de croissance pour Shakepay incluent :</w:t>
        <w:br/>
        <w:t>- Augmentation de la base d’utilisateurs via marketing et bouche-à-oreille.</w:t>
        <w:br/>
        <w:t>- Diversification des produits (staking, lending, épargne crypto).</w:t>
        <w:br/>
        <w:t>- Expansion des partenariats bancaires et fintech au Canada.</w:t>
        <w:br/>
        <w:t>- Possibilité d’élargir l’offre crypto (au-delà de BTC et ETH).</w:t>
        <w:br/>
        <w:br/>
        <w:t>La dépendance à un petit nombre de sources de revenus reste toutefois une limite stratégique.</w:t>
      </w:r>
    </w:p>
    <w:p>
      <w:pPr>
        <w:pStyle w:val="Heading1"/>
      </w:pPr>
      <w:r>
        <w:t>Conclusion et recommandations</w:t>
      </w:r>
    </w:p>
    <w:p>
      <w:r>
        <w:t>Shakepay présente une performance financière estimée solide, reposant sur des volumes élevés et des spreads attractifs. Cependant, l’entreprise demeure vulnérable face à la concurrence internationale et au manque de diversification de ses revenus. Il est recommandé d’accélérer l’intégration de nouvelles sources de revenus (staking, token de fidélité, services DeFi) afin de stabiliser sa rentabilité à long terme et renforcer sa compétitivité.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