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Due Diligence Report: Ethena’s USDe / sUSDe (Delta‑Neutral Crypto Asset)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Capital modeled: $10,000 (utilization 98.00% → deployed $9,800). One‑time slippage assumption: 10 bps → cost ≈ $9.80. Annual fee: 0.50%. Holding period: 90 days (~0.25 years). Yield drivers: ETH staking APR 3.10% + funding 10.00%. Modeled annualized net yield ≈ 12.60%; holding‑period net return ≈ 1.00% after slippage and reserve.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Recommendation: Opportunistic BUY with strict monitoring of funding, redemption conditions, and venue risk. Sizing 5–10% of AUM; 90‑day rolling review.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Asset &amp; Mechanism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USDe uses staked ETH collateral hedged with short perpetual futures to create a delta‑neutral backing. sUSDe is a yield‑bearing wrapper that accrues staking APR and perp funding carry net of fees.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3. Expected Yield &amp; Duration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Base case: staking APR 3.10%, funding 10.00%, annual fee 0.50%, reserve 2.00%. Gross yield ≈ 13.10%, net annualized ≈ 12.60%. Over ~90 days the model implies ≈ 1.00% on total capital. Recommended duration 60–180 days with monthly review.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4. Key Risks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Funding inversion; counterparty/venue; smart‑contract/oracle; liquidity/redemption; operational; regulatory.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5. Risk Mitigations &amp; Controls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Venue diversification; off‑exchange settlement; monitoring/alerts; position limits; emergency unwind playbook; insurance/safety modules where available.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6. Comparative Benchmarking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Targets higher yield versus cash/T‑Bills (~4–5%) but adds derivative and protocol risk. Vs. LST/LRT carry (3–7%), outperformance depends on positive funding regimes.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7. On‑Chain / Market Metrics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Track TVL &amp; supply, DEX/CEX liquidity depth, holder concentration, integrations, and realized funding spreads vs model assumptions.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8. Legal &amp; Compliance Considerations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KYC/AML for venues; sanctions policies; jurisdictional treatment of synthetic dollars/derivatives; tax on yield and conversions.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9. Investment Recommendation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Allocate 5–10% of AUM. Exit/hedge reduction triggers: funding &lt; 0 for 7+ days, redemption delays &gt; 24–48h, venue or protocol incidents. Base case expectation ≈ 12.60% annualized; ≈ 1.01% over 90 days under current inputs.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10. Appendix (Key Inputs &amp; Stress Tests)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Inputs: Capital $10,000, Utilization 98.00%, Deployed $9,800, Slippage 10 bps (cost $9.80), Annual Fee 0.50%, Holding 90 days, Reserve 2.00%.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Funding APY(%)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Annual Fee (%)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Holding (yrs)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Slippage ($)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Reserve (%)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HP Net Return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-0.05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0.031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9.8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-0.027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-0.02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0.031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9.8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-0.020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0.031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9.8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-0.015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0.031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9.8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-0.002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0.031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9.8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0.02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0.010</w:t>
            </w:r>
          </w:p>
        </w:tc>
      </w:tr>
      <w:tr>
        <w:trPr>
          <w:cantSplit w:val="0"/>
          <w:trHeight w:val="403.21582031249994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0.031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9.8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0.022</w:t>
            </w:r>
          </w:p>
        </w:tc>
      </w:tr>
      <w:tr>
        <w:trPr>
          <w:cantSplit w:val="0"/>
          <w:trHeight w:val="73.2158203124999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0.031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9.8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0.035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