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46489051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John Holtzapple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Reduce blood pressure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4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16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7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1.46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0.84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8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4.00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negatively affected by some Persuade utterances, eg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17:30“Or if you want to start with one extra walk per week and plan from there.”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practitioner shows great skill in probing what kind of changes the client is willing to do to lower the blood pressure.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For a higher score at Cultivating Change Talk, more time must be spent on exploring the benefits of change. For example the client mentions that he doesn't want to be a burden for the family and relatives. Are there more reasons the client thinks are important and is it possible to deepen the conversation around those topics?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Cultivating change talk score is positively affected by reflections that may evoke the client reasons to change, like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03:14“So you are interested in getting your blood pressure in control.”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and like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13:45“So a priority for you would be something that is gentle, something you enjoy and that wouldn't put you at risk, something like the sunday walks with your wife.”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Partnership score is positively affected by Seeking Collaboration utterances such as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03:08“Would it be Ok for us to have a conversation about blood pressure?”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and such as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15:38“I wonder how that number sounds to you?”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which is helpful in focusing the conversation and also structures the session in a way that gives space for two people to collaborate towards a change goal, and these clinical behaviors are positive for the rating of the Partnership score.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Empathy score is positively affected when the counselor demonstrates that she tries to understand the client view, for example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05:10“Tell me a little bit more about that, what sort of differences might you expect?”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