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46489051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John Holtzapple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Reduce blood pressure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2024-03-04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16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7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1.46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0.84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8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4.00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Partnership score is negatively affected by some Persuade utterances, eg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17:30“Or if you want to start with one extra walk per week and plan from there.”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practitioner shows great skill in probing what kind of changes the client is willing to do to lower the blood pressure.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For a higher score at Cultivating Change Talk, more time must be spent on exploring the benefits of change. For example the client mentions that he doesn't want to be a burden for the family and relatives. Are there more reasons the client thinks are important and is it possible to deepen the conversation around those topics?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Cultivating change talk score is positively affected by reflections that may evoke the client reasons to change, like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03:14“So you are interested in getting your blood pressure in control.”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and like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13:45“So a priority for you would be something that is gentle, something you enjoy and that wouldn't put you at risk, something like the sunday walks with your wife.”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Partnership score is positively affected by Seeking Collaboration utterances such as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03:08“Would it be Ok for us to have a conversation about blood pressure?”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and such as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15:38“I wonder how that number sounds to you?”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which is helpful in focusing the conversation and also structures the session in a way that gives space for two people to collaborate towards a change goal, and these clinical behaviors are positive for the rating of the Partnership score.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Empathy score is positively affected when the counselor demonstrates that she tries to understand the client view, for example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05:10“Tell me a little bit more about that, what sort of differences might you expect?”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