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46489054</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Brittany Rozelle</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4</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0.38</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0.20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12</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Cultivating change talk score would have been positively affected if the counsellor had explored disadvantages of the situation as it is now (status quo) and explored the benefits of implementing a change.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is directive, for example 15:11 “…. Just that we can get you started in the right direction ..”. This is a Persuade utterance, which has negative impact on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some questions had been rephrased as reflections and particularly as Complex reflections the Empathy score had been affected in a positive way and also the Partnership score given the client more space for how to respond.</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structures the conversation in a way that the client discusses plans how the change should come in place which affect the Softening sustain talk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affirmations that emphasizes that the client understands what he needs to do and keeps trying, for example 6:23 “… really important that you recognize that ….” and 11:37 “… to even be able of you to came out and say that … it takes a lot …” and 19:18 “that is a great idea because it will be nice for both of us ….”. 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utterances, which emphasize the client autonomy, which is positive for the Partnership score eg 12:07 “…if you decide to start taking some of these steps you start saving …. ” and 18:51 “that is really up to you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had several Seeking Collaboration utterances like 15:42 “… what do you think is a good number to cut back …?”, which affect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Empathy score is positively affected when the counselor demonstrates that she tries to understand the client view, for example 15:29 “what I am hearing from you is that we are ready to start …. take small steps …”. The reflection also reinforces the stated client reasons to cut down on smoking which affects the Cultivating change talk score in a positive way.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