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Elizabeth Secundy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5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0.71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Some of the counselor's reflections reinforce the good things for the client about continuing as now, for example 11:52 “if you didn´t smoke you would not have that 5-minute break ….” and 12:13 “… it reduces your stress, you enjoy it, enjoy smoking” and therefore affect the rating of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counselor´s questions on difficulties with making the change, for example 10:41 tell me what makes it hard to quit …. What would be not so good things about quitting?” which directs the consultation towards obstacles to change. However, such a question also shows that the counselor wants to understand the client and affects the Empathy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 6:04 ”…. You are very motivated to quit smoking” and 7:27 “… knowing that would be in the best interest of your child that is definitely a motivating factor” and 18:06 “… what motivate you to stop …. your son, looking at your aunt … and more money ….”.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9:06 ”what would change in your life if you stopped smoking?”. This contributed to the rating of the Cultivating Change talk score in a positive way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some Affirm utterances, for example 6:43 “… quitting cold turkey is so hard, I cannot even believe you lasted …. ” and 17:38 “… give you a lot of credit for taking a first step ”. These affect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utterances, which emphasize the client autonomy, which is positive for the Partnership score eg 19:25 “…. That would be something that you have to decide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several Seeking Collaboration utterances like 8:57 ”… any question that you may have I will be happy to answer” and 18:35 “do you mind if I follow up with you or do you want to get back to me?”, which affect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