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46489056</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Eveline Fondong</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12</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0.42</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0.14</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uses questions and reflections in order to evoke solutions and alternatives for the client. If the counselor also had made questions and reflections on the client´s motives to change the rating of the Cultivating change talk score had been positively affected.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What makes you think that you cannot do that” (11:25), which directs the consultation towards obstacles to change. 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the counselor had used more utterances to Affirm the client´s resources and accomplishments, the Partnership score had been positively affected.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some questions had been rephrased as reflections and particularly as Complex reflections the Empathy score had been affected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asks several evoking questions, eg “What do you think you can do in order to consider…the blood pressure goes down” (12:33). This contributed to the rating of the Cultivating Change talk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several Seeking Collaboration utterances like “If you permit me I can…do you want me to give you some suggestion” (20:09), which affect the Partnership score positively.  On the other hand, if the client has already asked for advice, you do not need to ask for permission, then it is already there.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she tries to understand the client view, for example “You may mention that you had some suggestions for the blood pressure…” (13:47).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