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46489059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Emily Bennington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2024-03-04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0.69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what made the client want to smoke, for example 03:10 ”What led you to…”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reasons that make the client start smoking again, for example 05:20 ”What were some of the things that…”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14:50 The client is mentioning reasons for making a change, if the clinician had enhanced the client’s reasons, it would have affected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16:40 - 17:50 The clinician is dominating the conversation by talking for over one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efforts by doing an Affirm, for example 05:10 ”But it sounds like you were successful…”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efforts by doing an Affirm, for example 12:15 ”So you have kind of starting to think about…”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asking, for example 14:30 ”Would you say that…”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15:40 ”How would your life…” It affects the Cultivating Change Talk Score positively.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