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46489062</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Hannah Mainard</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5</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0.40</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0.38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5</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13:19 ”What benefits do you feel it does for your body? … Is it …?” and 4:34 “on the days where you feel that you need to smoke – what exactly does it give for you?” which directs the consultation towards obstacles to change.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(status quo), and explored the benefits of implementing a change. For example how quitting would affect her son, her chest infections, her breath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more questions were rephrased into reflections a more balanced partnership might have developed between the client and the counselor.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8:51 ”… you are still giving your body the nicotine but it is taking away the health risk … so that is something to consider”.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demonstrates that she listens to the client and is trying to understand the client's perspective. The counselor makes some Complex Reflections, such as 9:46 “… and you were kind of glad to getting away from that conversation ”. This affects the rating of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14:04 ”If you do decide that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an Affirm utterance, like 15:51 “… showing some sort of interest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15:07 “I just want to make sure that you have all the resources that we can provide you with …”, 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3:53 “… What do you feel your idea about smoking is?” and 5:19 “and on the days where you feel that maybe you want to quit – what kind of prompts those thoughts?”. This contributed to the rating of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