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46489063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Jamie Smith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Agree to new plan to manage anxiety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1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8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7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0.67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8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counselor had made questions and reflections on the client´s motives to change the rating of the Cultivating change talk score had been positively affected.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had Seeking Collaboration utterances like 12:23 “we can look inti that together and see what it is there to offer”, which affect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is directive, for example 5:21 “… Could we try doing something with having a little bit more security at home …” and 5:51 “it would probably …. Some of the tension …..” and 7:15 “Have you ever tried, with your doctor, any other kind of medication ….?” and 8:53 “Taken it more than it is prescribed is probably not the best thing ….” and 9:46 “Have you tried to talk with a therapist?” This is a Persuade utterance, which has negative impact on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affirmations that emphasizes that the client understands what he needs to do and keeps trying, for example 16:47 “you know yourself when you are there ” and 17:04 “… you have positive attitude and that is really a good start …..”. This affects the rating of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Complex Reflections, such as 10:08 “… you don´t get anything from their coping.” and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12:58 “That is the hard piece of it” affect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questions, that convey an understanding of the client perspectives, such as 12:50 “In the therapy, you have not met one you click with?”, which affect the Empathy score in a positive way.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evoking questions, eg 8:33 “Is that more than you should be taken?” This contributed to the rating of the Cultivating Change talk score in a positive way.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