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46489067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Michael Charles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Reduce use of opioids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2024-03-04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9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0.30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0.33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4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4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06:40 The client mentions reasons for making a change, such as getting back to work, if the clinician had explored and deepened the reason for making a change, it would have affected the Cultivating Change positively.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giving advice without asking for permission by doing a Persuade, for example 17:00 ”…Maybe physical therapy is…” It affects the Partnership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17:20 - 19:00 The clinician is dominating the conversation by talking for almost two minutes without involving the client. It affects the Partnership Score negatively.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evoking Questions, for example 08:50 ”Do you have any concerns about that?” It affects the Cultivating Change Talk Score positively.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concerns with the medication by doing a Simple Reflection, for example 09:30 ”So you are concerned that…” It affects the Cultivating Change Talk Score positively.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gives the client the possibility to decide on the subject by Seeking Collaboration, for example 12:00 ”Would you be open to…”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involving the client in the decision making by Seeking Collaboration, for example 12:40 ”What do you think about that?” It affects the Partnership Score positively.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