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46489067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Michael Charles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Reduce use of opioids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9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0.30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0.33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4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4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06:40 The client mentions reasons for making a change, such as getting back to work, if the clinician had explored and deepened the reason for making a change, it would have affected the Cultivating Change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giving advice without asking for permission by doing a Persuade, for example 17:00 ”…Maybe physical therapy is…”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17:20 - 19:00 The clinician is dominating the conversation by talking for almost two minutes without involving the client. It affects the Partnership Score negatively.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evoking Questions, for example 08:50 ”Do you have any concerns about that?” It affects the Cultivating Change Talk Score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concerns with the medication by doing a Simple Reflection, for example 09:30 ”So you are concerned that…” It affects the Cultivating Change Talk Score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gives the client the possibility to decide on the subject by Seeking Collaboration, for example 12:00 ”Would you be open to…”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involving the client in the decision making by Seeking Collaboration, for example 12:40 ”What do you think about that?” It affects the Partnership Score positively.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