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46489068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Nicholas Stanley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Agree to new plan to manage anxiety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17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0.41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0.43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1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more suggestions and questions were rephrased into reflections a more balanced partnership might have developed between the client and the counselor, which had affected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is directive, for example 18:48 “and with regards to your sleeping – do you think that tonight would be an opportunity to kind of explore …”. This is a Persuade utterance, which has negative impact on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rating of the Partnership score, the counselor could have emphasized the client control more.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If some questions had been rephrased as reflections and particularly as Complex reflections the Empathy score had been affected in a positive way and also the Partnership score given the client more space for how to respond.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positively affected by the practitioner seeking to explore the client's views and opinions, for example 12:27 “… how would you feel about ….?”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asks several evoking questions, eg 6:07 “How do you think that this anxiety has held you back from living …?” and 13:41 “What are your thought about that?” This contributed to the rating of the Cultivating Change talk score in a positive way.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makes affirmations that emphasizes that the client understands what she needs to do and keeps trying, for example 9:27 “you have a will to get there …” and 12:14 “… that is something you are looking to kind of take a look at….”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counselor demonstrates that she listens to the client and is trying to understand the client's perspective. The counselor makes several Reflections, such as 6:43 “It gets overwhelming” and 8:31 “… the relationship between you and your husband …. because of the financial aspect …”, and 12:02 “…coming into a routine that could benefit not only the relationship between you and your husband but possibly also …”This affects the rating of the Empathy score positively.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