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2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Hanaa Madani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6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3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4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5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re is room for more reflective listening in this session and some utterances could have been rephrased into reflections. That affect the Empathy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For a higher rating of the Empathy score, the counsellor could have used more Complex Reflections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rating of Partnership score is negatively affected when the counselor makes suggestions and advices without involving the client in evaluating, for example 8:47 “when you are using the patch and the gum …. But it is taking away the health risk you are getting with smoking. That is something to consider” and 14:34 “… and when you not tried the patch before … also having that keep the craving …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Softening sustain talk score is negatively affected by the counselor questions on reasons to smoke, like 3:49 “what do you feel your idea about smoking is?” and 4:32 “on the days when you feel that you need to smoke – what exactly does it do for you?” and reflections on reasons to smoke, for example 6:20 “…. It is a reward after completing tasks …. ”. The conversation is directed towards reasons for change which affect the Softening sustain talk score nega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Empathy score is positively affected when the counselor demonstrates that she tries to understand the client view, for example 8:00 “the patch or the ” and 9:46 “… and you were kind of glad to have gone away from that conversation” and 15:45 “… I know you were not keen on discussing with the doctor …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uses an Affirm utterance, like 15:46 “… so that you have a call with me is showing some sort of interest”. This affects the rating of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utterances, which emphasize the client autonomy, which is positive for the Partnership score eg 14:01 “if you do decide … reducing or quitting …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ultivating change talk score is positively affected by questions that may evoke the client reasons to change, like 5:23 “on the days when you feel like maybe you want to quit – what kind of prompts those thoughts?”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