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46489073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Julian Laude</w:t>
            </w:r>
            <w:r w:rsidRPr="00CF022B">
              <w:rPr>
                <w:rFonts w:ascii="Helvetica Neue" w:hAnsi="Helvetica Neue" w:cstheme="majorHAnsi"/>
                <w:lang w:val="en-GB"/>
              </w:rPr>
              <w:t/>
            </w:r>
            <w:r w:rsidRPr="007E172A">
              <w:rPr>
                <w:rFonts w:ascii="Helvetica Neue" w:hAnsi="Helvetica Neue" w:cstheme="majorHAnsi"/>
                <w:lang w:val="en-GB"/>
              </w:rPr>
              <w:t/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 xml:space="preserve">Smoking cessation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2024-03-04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9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3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21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7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2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0.43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0.22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1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1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3.00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sometimes after having made a reflection asks a question to check that he has understood. The question reduces how the client may respond on the reflection and affects therefore the Partnership score negatively, for example 05:42 ”…Is that correct?” 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asking for problems with quit smoking, for example 06:00 ”What would be the barriers…” It affects the Softening Sustain Talk Score negatively.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positive aspects of smoking by doing a Complex Reflection, for example 08:20 ”So it was the social aspect…” It affects the Softening Sustain Talk Score negatively.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10:50 - 12:15 The clinician is dominating the conversation by talking for almost 1,5 minute without involving the client. It affects the Partnership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giving advice without asking for permission by doing a Persuade, for example 21:28 ”Try to also find alternatives…” It affects the Partnership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some questions had been rephrased as reflections and particularly as Complex reflections the Empathy score had been affected in a positive way and also the Partnership score given the client more space for how to respond. 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reasons for making a change by doing a Complex Reflection and enhancing the client’s ambitions by doing an Affirm, for example 09:40 ”…That’s a big motivator… You probably want to be like a role model for him…” The Reflection affects the Cultivating Change Talk Score positively and the Affirm affects the Partnership Score positively.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client’s ideas by doing an Affirm, for example 23:20 ”Those are all great ideas…” It affects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