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46489073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Julian Laude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Smoking cessation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2024-03-14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9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7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0.43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0.22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1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1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sometimes after having made a reflection asks a question to check that he has understood. The question reduces how the client may respond on the reflection and affects therefore the Partnership score negatively, for example 05:42 ”…Is that correct?” 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for problems with quit smoking, for example 06:00 ”What would be the barriers…” It affects the Softening Sustain Talk Score negatively.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positive aspects of smoking by doing a Complex Reflection, for example 08:20 ”So it was the social aspect…” It affects the Softening Sustain Talk Score negatively.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10:50 - 12:15 The clinician is dominating the conversation by talking for almost 1,5 minute without involving the client. It affects the Partnership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giving advice without asking for permission by doing a Persuade, for example 21:28 ”Try to also find alternatives…” It affects the Partnership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some questions had been rephrased as reflections and particularly as Complex reflections the Empathy score had been affected in a positive way and also the Partnership score given the client more space for how to respond. 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reasons for making a change by doing a Complex Reflection and enhancing the client’s ambitions by doing an Affirm, for example 09:40 ”…That’s a big motivator… You probably want to be like a role model for him…” The Reflection affects the Cultivating Change Talk Score positively and the Affirm affects the Partnership Score positively.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ideas by doing an Affirm, for example 23:20 ”Those are all great ideas…”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