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46489076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Alison Carrillo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Reduce use of opioids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0.45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0.80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asked about the benefits of making a change and explored the reasons, it would have affected the Cultivated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involved the client in the decision making by Seeking Collaboration as well as emphasized the client autonomy and control, it would have affected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leading into the reasons for making a change by asking, for example 10:10 ”Do you feel like that is…” It affects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leading into the reasons for making a change by doing a Complex Reflection, for example 11:40 ”I hear you talk about…but you’re also really concerned…” It directs the consultation towards change and affects the Softening Sustain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trying to understand her client’s thoughts and feelings by doing a Complex Reflection, for example 15:30 ”It sounds really…” It affects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ambitions by doing an Affirm, for example 20:15 ”I’m glad…and that you’re willing to consider that…” It affects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