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46489053</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Sarah Grace Tucker</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Smoking cessation</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2024-03-04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2</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6</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17</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3</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5</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0.47</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0.63</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2</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3.00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2.50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If more questions were rephrased into reflections a more balanced partnership might have developed between the client and the counselor, which had affected the Partnership score positively. Also, the Empathy score had been positively affected if questions had been rephrased into reflections especially into complex reflections.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Softening sustain talk score is negatively affected by the counselor reflections on difficulties with making the change eg 17:53 “…sounds that this has been a big part of your life ….”. However, such a reflection also shows that the counselor wants to understand the client and affects the Empathy score in a positive way.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If the counselor had made efforts to emphasize client autonomy, this would have yielded a higher rating of the Partnership score.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If the counselor had used utterances to Affirm the client´s resources and accomplishments, the Partnership score had been positively affected.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Cultivating change talk score would have been positively affected if the counsellor had explored on a deeper level disadvantages of the situation as it is now (status quo), and explored the benefits of implementing a change. For example when the client (6:00- 8:15) mentioned reasons to stop smoking like cancer, infections related to smoking, his son might be influenced by him to smoke, COPD.</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counsellor asks some evocative questions that positively affect the Cultivating Change Talk score, eg. 5:55 “… what makes you think that smoking is a problem ….?” and 9:56 “…what would your life be like if you stopped smoking?”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Cultivating change talk score is positively affected by reflections that may evoke the client reasons to change, like 8:25 “it sounds like you have personal experience, like your aunt  ”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Some Reflections, such as 11:09 “… it sounds that the social activity …. not smoking …. a new experience for you” affects the Empathy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Some questions, such as 11:50 “… what would it take for you to be a ten …what would help you in the decision?” affects the Empathy score positively and also the Cultivating change talk score.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had Seeking Collaboration utterances like 17:42 “if you are interested in something like that we can definitely ….”, which affect the Partnership score positively.</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