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46489054</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Brittany Rozelle</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Smoking cessation</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4</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0.38</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0.20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12</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3.00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Cultivating change talk score would have been positively affected if the counsellor had explored disadvantages of the situation as it is now (status quo) and explored the benefits of implementing a change.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is directive, for example 15:11 “…. Just that we can get you started in the right direction ..”. This is a Persuade utterance, which has negative impact on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If some questions had been rephrased as reflections and particularly as Complex reflections the Empathy score had been affected in a positive way and also the Partnership score given the client more space for how to respond.</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structures the conversation in a way that the client discusses plans how the change should come in place which affect the Softening sustain talk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affirmations that emphasizes that the client understands what he needs to do and keeps trying, for example 6:23 “… really important that you recognize that ….” and 11:37 “… to even be able of you to came out and say that … it takes a lot …” and 19:18 “that is a great idea because it will be nice for both of us ….”. This affects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utterances, which emphasize the client autonomy, which is positive for the Partnership score eg 12:07 “…if you decide to start taking some of these steps you start saving …. ” and 18:51 “that is really up to you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had several Seeking Collaboration utterances like 15:42 “… what do you think is a good number to cut back …?”, which affect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Empathy score is positively affected when the counselor demonstrates that she tries to understand the client view, for example 15:29 “what I am hearing from you is that we are ready to start …. take small steps …”. The reflection also reinforces the stated client reasons to cut down on smoking which affects the Cultivating change talk score in a positive way.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