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46489056</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Eveline Fondong</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12</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0.42</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0.14</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uses questions and reflections in order to evoke solutions and alternatives for the client. If the counselor also had made questions and reflections on the client´s motives to change the rating of the Cultivating change talk score had been positively affected.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What makes you think that you cannot do that” (11:25), which directs the consultation towards obstacles to change. 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used more utterances to Affirm the client´s resources and accomplishments, the Partnership score had been positively affected.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some questions had been rephrased as reflections and particularly as Complex reflections the Empathy score had been affected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asks several evoking questions, eg “What do you think you can do in order to consider…the blood pressure goes down” (12:33). 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several Seeking Collaboration utterances like “If you permit me I can…do you want me to give you some suggestion” (20:09), which affect the Partnership score positively.  On the other hand, if the client has already asked for advice, you do not need to ask for permission, then it is already there.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she tries to understand the client view, for example “You may mention that you had some suggestions for the blood pressure…” (13:47).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