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2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Hanaa Madani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6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43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4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5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re is room for more reflective listening in this session and some utterances could have been rephrased into reflections. That affect the Empathy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For a higher rating of the Empathy score, the counsellor could have used more Complex Reflections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rating of Partnership score is negatively affected when the counselor makes suggestions and advices without involving the client in evaluating, for example 8:47 “when you are using the patch and the gum …. But it is taking away the health risk you are getting with smoking. That is something to consider” and 14:34 “… and when you not tried the patch before … also having that keep the craving …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Softening sustain talk score is negatively affected by the counselor questions on reasons to smoke, like 3:49 “what do you feel your idea about smoking is?” and 4:32 “on the days when you feel that you need to smoke – what exactly does it do for you?” and reflections on reasons to smoke, for example 6:20 “…. It is a reward after completing tasks …. ”. The conversation is directed towards reasons for change which affect the Softening sustain talk score nega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Empathy score is positively affected when the counselor demonstrates that she tries to understand the client view, for example 8:00 “the patch or the ” and 9:46 “… and you were kind of glad to have gone away from that conversation” and 15:45 “… I know you were not keen on discussing with the doctor …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uses an Affirm utterance, like 15:46 “… so that you have a call with me is showing some sort of interest”. This affects the rating of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utterances, which emphasize the client autonomy, which is positive for the Partnership score eg 14:01 “if you do decide … reducing or quitting …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ultivating change talk score is positively affected by questions that may evoke the client reasons to change, like 5:23 “on the days when you feel like maybe you want to quit – what kind of prompts those thoughts?”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