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46489074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Juliette Holtzman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0.14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about positive aspects of smoking, for example 10:25 ”What are some of the good things…” It affects the Softening Sustain Talk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clinician had tried to understand the client’s thoughts and feelings by doing more reflections and especially Complex Reflections, it would have affected the Empathy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14:40 - 15:30 The clinician is dominating the conversation by talking for almost one minute without involving the client. It affects the Partnership Score negatively.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evoking Questions, for example 05:50 ”Is it anything that is driving this…”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about negative aspects of smoking, for example 11:00 ”What are some not good things…”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clinicians enhancing the client’s strengths by doing an Affirm, for example 06:48 ”It seems like you have some really good insight…”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trying to understand the client’s thoughts and feelings by doing a Complex Reflection, for example 09:20 ”…and having the support…” It affects the Empathy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