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RevLine Industries — Distributor Commercial Terms (Short Form)</w:t>
      </w:r>
    </w:p>
    <w:p>
      <w:pPr>
        <w:spacing w:after="120"/>
      </w:pPr>
      <w:r>
        <w:t>This short-form sets outbound terms for distributors in applicable markets. It emphasizes pricing governance, allowances, and MFN guardrails for Scenario 1.</w:t>
      </w:r>
    </w:p>
    <w:p>
      <w:pPr>
        <w:pStyle w:val="Heading1"/>
      </w:pPr>
      <w:r>
        <w:t>1. Appointment &amp; Channels</w:t>
      </w:r>
    </w:p>
    <w:p>
      <w:r>
        <w:t>1.1 Non-exclusive appointment by territory/channel. No guaranteed minimums unless specified in an Exhibit.</w:t>
      </w:r>
    </w:p>
    <w:p>
      <w:r>
        <w:t>1.2 Distributor will promote, sell, and service RevLine engines and approved bundles.</w:t>
      </w:r>
    </w:p>
    <w:p>
      <w:pPr>
        <w:pStyle w:val="Heading1"/>
      </w:pPr>
      <w:r>
        <w:t>2. Price, Allowances &amp; Promo Governance</w:t>
      </w:r>
    </w:p>
    <w:p>
      <w:r>
        <w:t>2.1 Price Lists: RevLine publishes list prices; changes require 30 days’ notice.</w:t>
      </w:r>
    </w:p>
    <w:p>
      <w:r>
        <w:t>2.2 Allowances: Co-op/markdowns/promo billbacks pre-approved per campaign with objective and end-date. Evergreen ‘always-on’ allowances are discouraged and require CFO approval.</w:t>
      </w:r>
    </w:p>
    <w:p>
      <w:r>
        <w:t>2.3 Caps: Annual total allowances capped as % of Net Sales by account; overages need VP Sales + Finance signoff.</w:t>
      </w:r>
    </w:p>
    <w:p>
      <w:r>
        <w:t>2.4 EDLP Pilots: Allowed for limited periods with ROI tracking; not a default policy.</w:t>
      </w:r>
    </w:p>
    <w:p>
      <w:r>
        <w:t>2.5 &lt;b&gt;MFN Guardrail&lt;/b&gt;: No explicit or implied MFN. Distributor agrees that targeted allowances to another account are not a breach of price parity.</w:t>
      </w:r>
    </w:p>
    <w:p>
      <w:pPr>
        <w:pStyle w:val="Heading1"/>
      </w:pPr>
      <w:r>
        <w:t>3. Orders, Data &amp; Returns</w:t>
      </w:r>
    </w:p>
    <w:p>
      <w:r>
        <w:t>• Orders via portal/EDI. Forecasts 8 weeks rolling; firm PO horizon 2 weeks.</w:t>
      </w:r>
    </w:p>
    <w:p>
      <w:r>
        <w:t>• Sell-through data weekly (SKU, qty, price, promo code).</w:t>
      </w:r>
    </w:p>
    <w:p>
      <w:r>
        <w:t>• Returns only for defects or authorized RTV; restocking fees may apply.</w:t>
      </w:r>
    </w:p>
    <w:p>
      <w:pPr>
        <w:pStyle w:val="Heading1"/>
      </w:pPr>
      <w:r>
        <w:t>4. Service Levels &amp; Compliance</w:t>
      </w:r>
    </w:p>
    <w:p>
      <w:r>
        <w:t>• Minimum display/online presence; service/installation standards per tech bulletin.</w:t>
      </w:r>
    </w:p>
    <w:p>
      <w:r>
        <w:t>• No diversion or transshipment outside territory without written consent.</w:t>
      </w:r>
    </w:p>
    <w:p>
      <w:pPr>
        <w:pStyle w:val="Heading1"/>
      </w:pPr>
      <w:r>
        <w:t>5. Term &amp; Termination</w:t>
      </w:r>
    </w:p>
    <w:p>
      <w:r>
        <w:t>Initial term 1 year; auto-renew. Termination for convenience with 60 days’ notice; for cause with 30-day cure.</w:t>
      </w:r>
    </w:p>
    <w:p>
      <w:pPr>
        <w:pStyle w:val="Heading1"/>
      </w:pPr>
      <w:r>
        <w:t>Exhibit A — Allowance Playbook (Examples)</w:t>
      </w:r>
    </w:p>
    <w:p>
      <w:r>
        <w:t>• Launch bundle rebate (time-boxed), co-op ads with proof of performance.</w:t>
      </w:r>
    </w:p>
    <w:p>
      <w:r>
        <w:t>• Fleet program accruals tied to volume tiers (expires quarterly).</w:t>
      </w:r>
    </w:p>
    <w:p>
      <w:r>
        <w:t>• DO NOT USE: open-ended ‘EDLP’ or perpetual markdowns without CFO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