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A6B7B"/>
          <w:sz w:val="18"/>
          <w:szCs w:val="18"/>
        </w:rPr>
        <w:t xml:space="preserve">UIT.SE.66 — TÌM HIỂU KIẾN TRÚC MICRO FRONTEND &amp; ỨNG DỤNG VỚI NEXT.JS</w:t>
      </w:r>
    </w:p>
    <w:p>
      <w:pPr>
        <w:spacing w:after="80" w:before="80"/>
        <w:jc w:val="center"/>
      </w:pPr>
      <w:r>
        <w:rPr>
          <w:b/>
          <w:bCs/>
          <w:color w:val="1F3A5F"/>
          <w:sz w:val="40"/>
          <w:szCs w:val="40"/>
        </w:rPr>
        <w:t xml:space="preserve">Mô hình hóa vấn đề / giải pháp</w:t>
      </w:r>
    </w:p>
    <w:p>
      <w:pPr>
        <w:spacing w:after="260"/>
        <w:jc w:val="center"/>
      </w:pPr>
      <w:r>
        <w:rPr>
          <w:i/>
          <w:iCs/>
          <w:color w:val="2E5C8A"/>
          <w:sz w:val="22"/>
          <w:szCs w:val="22"/>
        </w:rPr>
        <w:t xml:space="preserve">Kiến trúc Micro Frontend cho AI Agent UI — Application Shell, Module, Integration Layer</w:t>
      </w:r>
    </w:p>
    <w:tbl>
      <w:tblPr>
        <w:tblW w:type="dxa" w:w="935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  <w:tblLayout w:type="fixed"/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7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UIT.SE.66-D3-ProblemSolutionModel</w:t>
            </w:r>
          </w:p>
        </w:tc>
      </w:tr>
      <w:tr>
        <w:tc>
          <w:tcPr>
            <w:tcW w:type="dxa" w:w="26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Chủ đồ án</w:t>
            </w:r>
          </w:p>
        </w:tc>
        <w:tc>
          <w:tcPr>
            <w:tcW w:type="dxa" w:w="6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Nguyễn Tuấn Khang — UIT.SE.66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GVHD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ThS. Nguyễn Công Hoan</w:t>
            </w:r>
          </w:p>
        </w:tc>
      </w:tr>
      <w:tr>
        <w:tc>
          <w:tcPr>
            <w:tcW w:type="dxa" w:w="26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Mốc liên quan (Project Charter)</w:t>
            </w:r>
          </w:p>
        </w:tc>
        <w:tc>
          <w:tcPr>
            <w:tcW w:type="dxa" w:w="6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03/10/2026 — Setup AI Agent Assistant / chốt Tech Stack / mô hình hóa xong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Working document — cập nhật trong quá trình thực hiện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1. Mục tiêu tài liệu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Tài liệu này cụ thể hóa hạng mục </w:t>
      </w:r>
      <w:r>
        <w:rPr>
          <w:b/>
          <w:bCs/>
          <w:color w:val="1B1F27"/>
          <w:sz w:val="22"/>
          <w:szCs w:val="22"/>
        </w:rPr>
        <w:t xml:space="preserve">“Mô hình hóa vấn đề / giải pháp”</w:t>
      </w:r>
      <w:r>
        <w:rPr>
          <w:color w:val="1B1F27"/>
          <w:sz w:val="22"/>
          <w:szCs w:val="22"/>
        </w:rPr>
        <w:t xml:space="preserve"> trong mốc </w:t>
      </w:r>
      <w:r>
        <w:rPr>
          <w:b/>
          <w:bCs/>
          <w:color w:val="1B1F27"/>
          <w:sz w:val="22"/>
          <w:szCs w:val="22"/>
        </w:rPr>
        <w:t xml:space="preserve">03/10/2026</w:t>
      </w:r>
      <w:r>
        <w:rPr>
          <w:color w:val="1B1F27"/>
          <w:sz w:val="22"/>
          <w:szCs w:val="22"/>
        </w:rPr>
        <w:t xml:space="preserve"> của Project Charter UIT.SE.66: phát biểu lại vấn đề kỹ thuật, mô hình hóa giải pháp kiến trúc Micro Frontend cho AI Agent UI, và xác định luồng dữ liệu/trạng thái giữa các thành phần — làm nền cho giai đoạn Thực hiện (đến 21/11/2026).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2. Phát biểu vấn đề (Problem Statement)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Xây UI cho AI Agent (chat panel, tool-invocation panel, dashboard…) theo hướng </w:t>
      </w:r>
      <w:r>
        <w:rPr>
          <w:b/>
          <w:bCs/>
          <w:color w:val="1B1F27"/>
          <w:sz w:val="22"/>
          <w:szCs w:val="22"/>
        </w:rPr>
        <w:t xml:space="preserve">monolith</w:t>
      </w:r>
      <w:r>
        <w:rPr>
          <w:color w:val="1B1F27"/>
          <w:sz w:val="22"/>
          <w:szCs w:val="22"/>
        </w:rPr>
        <w:t xml:space="preserve"> gây ba khó khăn chính: (1) khó mở rộng khi thêm tính năng mới cho Agent; (2) khó tách phát triển độc lập từng phần khi chỉ có một codebase dùng chung; (3) mọi thay đổi nhỏ đều kéo theo rebuild/redeploy toàn bộ UI, rủi ro cao khi demo. Đồ án cần một </w:t>
      </w:r>
      <w:r>
        <w:rPr>
          <w:b/>
          <w:bCs/>
          <w:color w:val="1B1F27"/>
          <w:sz w:val="22"/>
          <w:szCs w:val="22"/>
        </w:rPr>
        <w:t xml:space="preserve">mô hình tham chiếu</w:t>
      </w:r>
      <w:r>
        <w:rPr>
          <w:color w:val="1B1F27"/>
          <w:sz w:val="22"/>
          <w:szCs w:val="22"/>
        </w:rPr>
        <w:t xml:space="preserve"> cho phép chia UI Agent thành các module độc lập triển khai nhưng vẫn đảm bảo trải nghiệm liền mạch cho người dùng cuối.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3. Mô hình giải pháp — Kiến trúc Micro Frontend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Áp dụng mô hình Micro Frontend 3 lớp (Application Shell — Micro Frontends — Integration Layer), cụ thể hóa cho đồ án với </w:t>
      </w:r>
      <w:r>
        <w:rPr>
          <w:b/>
          <w:bCs/>
          <w:color w:val="1B1F27"/>
          <w:sz w:val="22"/>
          <w:szCs w:val="22"/>
        </w:rPr>
        <w:t xml:space="preserve">2 module nghiệp vụ</w:t>
      </w:r>
      <w:r>
        <w:rPr>
          <w:color w:val="1B1F27"/>
          <w:sz w:val="22"/>
          <w:szCs w:val="22"/>
        </w:rPr>
        <w:t xml:space="preserve"> theo đúng phạm vi Inclusions của Project Charter: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B7B"/>
          <w:sz w:val="19"/>
          <w:szCs w:val="19"/>
        </w:rPr>
        <w:t xml:space="preserve">Hình 4. Kiến trúc giải pháp Micro Frontend cho AI Agent UI (PoC)</w:t>
      </w:r>
    </w:p>
    <w:tbl>
      <w:tblPr>
        <w:tblW w:type="dxa" w:w="935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  <w:tblLayout w:type="fixed"/>
      </w:tblPr>
      <w:tblGrid>
        <w:gridCol w:w="2350"/>
        <w:gridCol w:w="2900"/>
        <w:gridCol w:w="4100"/>
      </w:tblGrid>
      <w:tr>
        <w:trPr>
          <w:tblHeader/>
        </w:trPr>
        <w:tc>
          <w:tcPr>
            <w:tcW w:type="dxa" w:w="23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1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 cụ thể trong đồ án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Application Shell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Khung chính: layout, navigation, routing, điều phối load module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Next.js App Router — header, sidebar điều hướng, khu vực mount module qua Module Federation</w:t>
            </w:r>
          </w:p>
        </w:tc>
      </w:tr>
      <w:tr>
        <w:tc>
          <w:tcPr>
            <w:tcW w:type="dxa" w:w="23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Micro Frontend #1 — Chat/Prompt module</w:t>
            </w:r>
          </w:p>
        </w:tc>
        <w:tc>
          <w:tcPr>
            <w:tcW w:type="dxa" w:w="29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UI hội thoại với AI Agent</w:t>
            </w:r>
          </w:p>
        </w:tc>
        <w:tc>
          <w:tcPr>
            <w:tcW w:type="dxa" w:w="41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Khung chat, ô nhập prompt, hiển thị phản hồi streaming từ LLM API (Groq — free tier, dữ liệu mẫu; OpenAI/Claude là phương án production-target)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Micro Frontend #2 — Tool-Invocation/Dashboard module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Hiển thị tool call &amp; dữ liệu liên quan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Bảng/thẻ hiển thị các tool Agent đã gọi, tham số, kết quả trả về</w:t>
            </w:r>
          </w:p>
        </w:tc>
      </w:tr>
      <w:tr>
        <w:tc>
          <w:tcPr>
            <w:tcW w:type="dxa" w:w="23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29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Kết nối Shell ⇄ các module</w:t>
            </w:r>
          </w:p>
        </w:tc>
        <w:tc>
          <w:tcPr>
            <w:tcW w:type="dxa" w:w="41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Module Federation (remoteEntry.js) để nạp module runtime; Zustand store dùng chung + custom event cho trao đổi dữ liệu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4. Luồng hoạt động runtime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Luồng chuẩn khi người dùng tương tác với AI Agent UI, áp dụng theo mô hình hoạt động của kiến trúc Micro Frontend: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B7B"/>
          <w:sz w:val="19"/>
          <w:szCs w:val="19"/>
        </w:rPr>
        <w:t xml:space="preserve">Hình 5. Luồng hoạt động runtime của mô hình Micro Frontend áp dụng cho đồ án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Bước 1: Người dùng truy cập Application Shell — Shell tải layout chính (header, navigation, footer).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Bước 2: Shell gọi Integration Layer để xác định module cần load dựa trên route hiện tại (VD: /chat → Chat module, /dashboard → Dashboard module).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Bước 3: Integration Layer nạp remote bundle tương ứng qua Module Federation, mount vào vùng giao diện định sẵn trong Shell.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Bước 4: Module hiển thị UI + xử lý tương tác riêng (VD: người dùng gõ prompt trong Chat module) — nếu cần, gọi trực tiếp LLM API.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Bước 5: Khi state thay đổi (VD: Agent vừa gọi một tool mới), Chat module phát sự kiện lên Integration Layer.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Bước 6: Integration Layer định tuyến dữ liệu đến Dashboard module (hoặc Shell) — Dashboard module cập nhật UI hiển thị tool call mới mà không cần reload trang.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5. Lựa chọn kỹ thuật tích hợp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Integration Layer sử dụng </w:t>
      </w:r>
      <w:r>
        <w:rPr>
          <w:b/>
          <w:bCs/>
          <w:color w:val="1B1F27"/>
          <w:sz w:val="22"/>
          <w:szCs w:val="22"/>
        </w:rPr>
        <w:t xml:space="preserve">client-side composition</w:t>
      </w:r>
      <w:r>
        <w:rPr>
          <w:color w:val="1B1F27"/>
          <w:sz w:val="22"/>
          <w:szCs w:val="22"/>
        </w:rPr>
        <w:t xml:space="preserve"> qua Module Federation (Webpack 5) — quyết định chi tiết và ma trận so sánh với Next.js Multi-Zones, Web Components được trình bày tại tài liệu </w:t>
      </w:r>
      <w:r>
        <w:rPr>
          <w:b/>
          <w:bCs/>
          <w:color w:val="1B1F27"/>
          <w:sz w:val="22"/>
          <w:szCs w:val="22"/>
        </w:rPr>
        <w:t xml:space="preserve">“Củng cố nền tảng — Chốt Tech Stack”</w:t>
      </w:r>
      <w:r>
        <w:rPr>
          <w:color w:val="1B1F27"/>
          <w:sz w:val="22"/>
          <w:szCs w:val="22"/>
        </w:rPr>
        <w:t xml:space="preserve"> (UIT.SE.66-D2), mục 3. Phương án dự phòng (Next.js Multi-Zones) không thay đổi mô hình 3 lớp ở tài liệu này — chỉ thay cách Integration Layer nạp module (route-based thay vì runtime import).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6. Mô hình nội bộ trong từng Micro Frontend: MVVM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Ở tầm vĩ mô, hệ thống áp dụng Micro Frontend để chia module; ở tầm vi mô, </w:t>
      </w:r>
      <w:r>
        <w:rPr>
          <w:b/>
          <w:bCs/>
          <w:color w:val="1B1F27"/>
          <w:sz w:val="22"/>
          <w:szCs w:val="22"/>
        </w:rPr>
        <w:t xml:space="preserve">mỗi module áp dụng mô hình MVVM</w:t>
      </w:r>
      <w:r>
        <w:rPr>
          <w:color w:val="1B1F27"/>
          <w:sz w:val="22"/>
          <w:szCs w:val="22"/>
        </w:rPr>
        <w:t xml:space="preserve"> (theo Tech Stack Reference — sheet Frontend, mục Architecture: “Micro Frontend, MVVM”) nhằm tách rõ trình bày UI khỏi logic xử lý, giúp module dễ test và dễ bảo trì độc lập:</w:t>
      </w:r>
    </w:p>
    <w:tbl>
      <w:tblPr>
        <w:tblW w:type="dxa" w:w="935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  <w:tblLayout w:type="fixed"/>
      </w:tblPr>
      <w:tblGrid>
        <w:gridCol w:w="1800"/>
        <w:gridCol w:w="3600"/>
        <w:gridCol w:w="395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Lớp MVVM</w:t>
            </w:r>
          </w:p>
        </w:tc>
        <w:tc>
          <w:tcPr>
            <w:tcW w:type="dxa" w:w="3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Triển khai trong React/Next.js</w:t>
            </w:r>
          </w:p>
        </w:tc>
        <w:tc>
          <w:tcPr>
            <w:tcW w:type="dxa" w:w="39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Ví dụ trong đồ án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Service gọi API / kiểu dữ liệu (TypeScript types)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chatService.ts gọi LLM API, trả về Message[]</w:t>
            </w:r>
          </w:p>
        </w:tc>
      </w:tr>
      <w:tr>
        <w:tc>
          <w:tcPr>
            <w:tcW w:type="dxa" w:w="18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View</w:t>
            </w:r>
          </w:p>
        </w:tc>
        <w:tc>
          <w:tcPr>
            <w:tcW w:type="dxa" w:w="36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React component thuần trình bày UI, nhận props</w:t>
            </w:r>
          </w:p>
        </w:tc>
        <w:tc>
          <w:tcPr>
            <w:tcW w:type="dxa" w:w="39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&lt;ChatWindow /&gt;, &lt;MessageBubble /&gt;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ViewModel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Custom hook quản lý state cục bộ + gọi Model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useChatViewModel() dùng Zustand/useState, gọi chatService, trả state cho View</w:t>
            </w:r>
          </w:p>
        </w:tc>
      </w:tr>
    </w:tbl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Cách tổ chức này giúp mỗi module giữ ranh giới rõ ràng theo Constitution (tài liệu D1), đồng thời tương thích với Unit Test theo View/ViewModel tách biệt (dễ đạt coverage 70% theo Quality Management).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7. Mô hình chia sẻ dữ liệu / trạng thái giữa các module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Phạm vi chia sẻ state được giới hạn ở mức tối thiểu cần thiết theo mitigation của rủi ro R3 (đồng bộ state/UX phức tạp hơn dự kiến):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Global store (Zustand) đặt tại tầng Integration Layer — chỉ chứa state thật sự dùng chung: phiên hội thoại hiện tại (session id), danh sách tool call gần nhất, trạng thái điều hướng.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State cục bộ của từng module (VD: nội dung đang gõ trong ô chat) giữ trong module đó, không đẩy lên global store.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Giao tiếp giữa module dùng custom event (CustomEvent) hoặc subscribe global store — không cho module gọi trực tiếp hàm nội bộ của module khác (đúng Architecture principles ở Constitution).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Ví dụ luồng cụ thể: Chat module nhận phản hồi Agent có tool-call → cập nhật global store trường lastToolCall → Dashboard module subscribe store, tự render lại khi lastToolCall thay đổi.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8. Ràng buộc phi chức năng áp dụng vào mô hình</w:t>
      </w:r>
    </w:p>
    <w:tbl>
      <w:tblPr>
        <w:tblW w:type="dxa" w:w="935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  <w:tblLayout w:type="fixed"/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Yêu cầu (Quality Management — Project Charter)</w:t>
            </w:r>
          </w:p>
        </w:tc>
        <w:tc>
          <w:tcPr>
            <w:tcW w:type="dxa" w:w="47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Áp dụng vào kiến trúc</w:t>
            </w:r>
          </w:p>
        </w:tc>
      </w:tr>
      <w:tr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First Load &lt; 3 giây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Shell chỉ tải phần khung tối thiểu; module MFE lazy-load khi vào đúng route</w:t>
            </w:r>
          </w:p>
        </w:tc>
      </w:tr>
      <w:tr>
        <w:tc>
          <w:tcPr>
            <w:tcW w:type="dxa" w:w="46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Độ trễ chuyển tiếp giữa module &lt; 300ms</w:t>
            </w:r>
          </w:p>
        </w:tc>
        <w:tc>
          <w:tcPr>
            <w:tcW w:type="dxa" w:w="47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Ưu tiên Module Federation (runtime import, không full page reload)</w:t>
            </w:r>
          </w:p>
        </w:tc>
      </w:tr>
      <w:tr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Lighthouse Performance ≥ 80/100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Chia nhỏ bundle theo module, dùng Next.js Image/Script optimization ở Shell</w:t>
            </w:r>
          </w:p>
        </w:tc>
      </w:tr>
      <w:tr>
        <w:tc>
          <w:tcPr>
            <w:tcW w:type="dxa" w:w="46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Không lỗi nghiêm trọng: mất đồng bộ state giữa module</w:t>
            </w:r>
          </w:p>
        </w:tc>
        <w:tc>
          <w:tcPr>
            <w:tcW w:type="dxa" w:w="47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Giới hạn global store ở mức tối thiểu (mục 7); test integration cho luồng ghép nối</w:t>
            </w:r>
          </w:p>
        </w:tc>
      </w:tr>
      <w:tr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Responsive, tương thích Chrome/Firefox/Edge, tối thiểu 1366×768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Shared Design System (TailwindCSS/shadcn-ui) dùng chung Shell và mọi module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9. Nguồn tham khảo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Project Charter UIT.SE.66 (05/09/2026) — mục Purpose/Vision, Scope, Quality Management, Technical Stack.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Tài liệu nội bộ “AI Coding Agents &amp; Spec-Driven Development (SDD)” — Idea &amp; Edited by Hoan Ng.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Tài liệu nội bộ “Frontend Technology Background” — Chương I mục 5.7 và Chương II mục 5 (Micro Frontend).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Tech Stack Reference (UIT_SE) — sheet Frontend, mục Architecture: Micro Frontend, MVVM.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Trao đổi tham khảo kiến trúc frontend (ChatGPT — “Frontend Architecture Tiêu Biểu”): https://chatgpt.com/share/69ae9141-c88c-800d-b627-ab700f81089e — ghi nhận làm nguồn tham khảo bổ sung; nội dung chi tiết chưa trích dẫn được do trang yêu cầu trình duyệt hiển thị động, cần đối chiếu thủ công khi viết literature review đầy đủ.</w:t>
      </w:r>
    </w:p>
    <w:sectPr>
      <w:footerReference w:type="default" r:id="rId7"/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UIT.SE.66-D3-ProblemSolutionModel  ·  Trang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B"/>
        <w:sz w:val="16"/>
        <w:szCs w:val="16"/>
      </w:rPr>
      <w:t xml:space="preserve">/</w:t>
    </w:r>
    <w:r>
      <w:rPr>
        <w:color w:val="5A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  <w:lvl w:ilvl="1" w15:tentative="1">
      <w:start w:val="1"/>
      <w:numFmt w:val="lowerLetter"/>
      <w:lvlText w:val="%2)"/>
      <w:lvlJc w:val="start"/>
      <w:pPr>
        <w:ind w:left="8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e633823a77093a853ebc826a172d0495260a93e.png"/><Relationship Id="rId9" Type="http://schemas.openxmlformats.org/officeDocument/2006/relationships/image" Target="media/db964f7767617c5904650c9c01498a1a024b15a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2026-09-10T13:58:41.770Z</dcterms:created>
  <dcterms:modified xsi:type="dcterms:W3CDTF">2026-09-10T13:58:41.773Z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